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3AE11" w14:textId="03F644E5" w:rsidR="00E15B11" w:rsidRDefault="00C0547B" w:rsidP="00FC6C89">
      <w:pPr>
        <w:pStyle w:val="Corpotesto"/>
        <w:tabs>
          <w:tab w:val="left" w:pos="1125"/>
          <w:tab w:val="center" w:pos="4715"/>
          <w:tab w:val="left" w:pos="8101"/>
        </w:tabs>
        <w:kinsoku w:val="0"/>
        <w:overflowPunct w:val="0"/>
        <w:spacing w:before="71"/>
        <w:ind w:left="0"/>
        <w:jc w:val="center"/>
        <w:rPr>
          <w:rFonts w:ascii="Garamond" w:eastAsia="Garamond" w:hAnsi="Garamond" w:cs="Garamond"/>
          <w:i/>
          <w:iCs/>
        </w:rPr>
      </w:pPr>
      <w:r w:rsidRPr="004F3D81">
        <w:rPr>
          <w:b/>
          <w:i/>
          <w:iCs/>
        </w:rPr>
        <w:t>Unione</w:t>
      </w:r>
      <w:r w:rsidRPr="004F3D81">
        <w:rPr>
          <w:b/>
          <w:i/>
          <w:iCs/>
          <w:spacing w:val="-2"/>
        </w:rPr>
        <w:t xml:space="preserve"> </w:t>
      </w:r>
      <w:r w:rsidRPr="004F3D81">
        <w:rPr>
          <w:b/>
          <w:i/>
          <w:iCs/>
          <w:spacing w:val="-1"/>
        </w:rPr>
        <w:t>Europea</w:t>
      </w:r>
    </w:p>
    <w:p w14:paraId="1F141CA7" w14:textId="23A9000D" w:rsidR="00FC6C89" w:rsidRDefault="00FC6C89" w:rsidP="00FC6C89">
      <w:pPr>
        <w:pStyle w:val="Corpotesto"/>
        <w:tabs>
          <w:tab w:val="left" w:pos="1125"/>
          <w:tab w:val="center" w:pos="4715"/>
          <w:tab w:val="left" w:pos="8101"/>
        </w:tabs>
        <w:kinsoku w:val="0"/>
        <w:overflowPunct w:val="0"/>
        <w:spacing w:before="71"/>
        <w:ind w:left="0"/>
        <w:jc w:val="center"/>
        <w:rPr>
          <w:b/>
          <w:i/>
          <w:iCs/>
          <w:spacing w:val="-1"/>
        </w:rPr>
      </w:pPr>
      <w:r w:rsidRPr="004F3D81">
        <w:t>REPUBBLICA</w:t>
      </w:r>
      <w:r w:rsidRPr="004F3D81">
        <w:rPr>
          <w:spacing w:val="-2"/>
        </w:rPr>
        <w:t xml:space="preserve"> </w:t>
      </w:r>
      <w:r w:rsidRPr="004F3D81">
        <w:rPr>
          <w:spacing w:val="-1"/>
        </w:rPr>
        <w:t>ITALIANA</w:t>
      </w:r>
    </w:p>
    <w:p w14:paraId="619BFD25" w14:textId="77777777" w:rsidR="00FC6C89" w:rsidRPr="004F3D81" w:rsidRDefault="00FC6C89" w:rsidP="00FC6C89">
      <w:pPr>
        <w:pStyle w:val="Corpotesto"/>
        <w:tabs>
          <w:tab w:val="left" w:pos="0"/>
          <w:tab w:val="left" w:pos="9214"/>
        </w:tabs>
        <w:kinsoku w:val="0"/>
        <w:overflowPunct w:val="0"/>
        <w:spacing w:before="71"/>
        <w:ind w:left="0"/>
        <w:rPr>
          <w:spacing w:val="-1"/>
        </w:rPr>
      </w:pPr>
      <w:r w:rsidRPr="004F3D81"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65408" behindDoc="1" locked="0" layoutInCell="1" allowOverlap="1" wp14:anchorId="3D882E46" wp14:editId="2C640481">
                <wp:simplePos x="0" y="0"/>
                <wp:positionH relativeFrom="page">
                  <wp:posOffset>5125720</wp:posOffset>
                </wp:positionH>
                <wp:positionV relativeFrom="paragraph">
                  <wp:posOffset>265430</wp:posOffset>
                </wp:positionV>
                <wp:extent cx="2082800" cy="886460"/>
                <wp:effectExtent l="0" t="0" r="0" b="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886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8D026" w14:textId="77777777" w:rsidR="00FC6C89" w:rsidRDefault="00FC6C89" w:rsidP="00FC6C89">
                            <w:pPr>
                              <w:widowControl/>
                              <w:autoSpaceDE/>
                              <w:spacing w:line="500" w:lineRule="atLeast"/>
                            </w:pPr>
                            <w:r w:rsidRPr="0044056F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67E5E173" wp14:editId="7906E618">
                                  <wp:extent cx="1752600" cy="695325"/>
                                  <wp:effectExtent l="0" t="0" r="0" b="0"/>
                                  <wp:docPr id="3" name="Immagin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26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2540" tIns="2540" rIns="2540" bIns="25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882E4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03.6pt;margin-top:20.9pt;width:164pt;height:69.8pt;z-index:-25165107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" stroked="f">
                <v:fill opacity="0"/>
                <v:textbox inset=".2pt,.2pt,.2pt,.2pt">
                  <w:txbxContent>
                    <w:p w14:paraId="6978D026" w14:textId="77777777" w:rsidR="00FC6C89" w:rsidRDefault="00FC6C89" w:rsidP="00FC6C89">
                      <w:pPr>
                        <w:widowControl/>
                        <w:autoSpaceDE/>
                        <w:spacing w:line="500" w:lineRule="atLeast"/>
                      </w:pPr>
                      <w:r w:rsidRPr="0044056F">
                        <w:rPr>
                          <w:noProof/>
                        </w:rPr>
                        <w:drawing>
                          <wp:inline distT="0" distB="0" distL="0" distR="0" wp14:anchorId="67E5E173" wp14:editId="7906E618">
                            <wp:extent cx="1752600" cy="695325"/>
                            <wp:effectExtent l="0" t="0" r="0" b="0"/>
                            <wp:docPr id="3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26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0"/>
          <w:szCs w:val="20"/>
          <w:lang w:eastAsia="it-IT"/>
        </w:rPr>
        <w:drawing>
          <wp:inline distT="0" distB="0" distL="0" distR="0" wp14:anchorId="140D90DF" wp14:editId="677B83D7">
            <wp:extent cx="1384300" cy="909955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909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</w:t>
      </w:r>
      <w:r>
        <w:rPr>
          <w:noProof/>
          <w:sz w:val="20"/>
          <w:szCs w:val="20"/>
          <w:lang w:eastAsia="it-IT"/>
        </w:rPr>
        <w:drawing>
          <wp:inline distT="0" distB="0" distL="0" distR="0" wp14:anchorId="087DBE3A" wp14:editId="5AF778DB">
            <wp:extent cx="1151890" cy="115189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51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  <w:t xml:space="preserve">     </w:t>
      </w:r>
      <w:r>
        <w:rPr>
          <w:spacing w:val="-1"/>
        </w:rPr>
        <w:tab/>
      </w:r>
    </w:p>
    <w:p w14:paraId="384B6369" w14:textId="77777777" w:rsidR="00FC6C89" w:rsidRPr="00285CE5" w:rsidRDefault="00FC6C89" w:rsidP="00FC6C89">
      <w:pPr>
        <w:pStyle w:val="Heading11"/>
        <w:kinsoku w:val="0"/>
        <w:overflowPunct w:val="0"/>
        <w:ind w:left="1247" w:right="1100"/>
        <w:jc w:val="center"/>
        <w:outlineLvl w:val="9"/>
        <w:rPr>
          <w:rFonts w:ascii="Times New Roman" w:hAnsi="Times New Roman" w:cs="Times New Roman"/>
          <w:b w:val="0"/>
          <w:bCs w:val="0"/>
        </w:rPr>
      </w:pPr>
      <w:r w:rsidRPr="00285CE5">
        <w:rPr>
          <w:rFonts w:ascii="Times New Roman" w:hAnsi="Times New Roman" w:cs="Times New Roman"/>
        </w:rPr>
        <w:t xml:space="preserve">Regione </w:t>
      </w:r>
      <w:r w:rsidRPr="00285CE5">
        <w:rPr>
          <w:rFonts w:ascii="Times New Roman" w:hAnsi="Times New Roman" w:cs="Times New Roman"/>
          <w:spacing w:val="-1"/>
        </w:rPr>
        <w:t>Siciliana</w:t>
      </w:r>
    </w:p>
    <w:p w14:paraId="3F318D5C" w14:textId="77777777" w:rsidR="00FC6C89" w:rsidRPr="00285CE5" w:rsidRDefault="00FC6C89" w:rsidP="00FC6C89">
      <w:pPr>
        <w:pStyle w:val="Regione"/>
        <w:ind w:right="0" w:firstLine="0"/>
        <w:rPr>
          <w:rFonts w:ascii="Times New Roman" w:hAnsi="Times New Roman" w:cs="Times New Roman"/>
          <w:i w:val="0"/>
          <w:sz w:val="24"/>
          <w:szCs w:val="24"/>
        </w:rPr>
      </w:pPr>
      <w:r w:rsidRPr="00285CE5">
        <w:rPr>
          <w:rFonts w:ascii="Times New Roman" w:hAnsi="Times New Roman" w:cs="Times New Roman"/>
          <w:i w:val="0"/>
          <w:sz w:val="24"/>
          <w:szCs w:val="24"/>
        </w:rPr>
        <w:t xml:space="preserve">Assessorato </w:t>
      </w:r>
      <w:r w:rsidRPr="00285CE5">
        <w:rPr>
          <w:rFonts w:ascii="Times New Roman" w:hAnsi="Times New Roman" w:cs="Times New Roman"/>
          <w:i w:val="0"/>
          <w:sz w:val="24"/>
          <w:szCs w:val="24"/>
          <w:highlight w:val="yellow"/>
        </w:rPr>
        <w:t>[inserire il nome dell’Assessorato]</w:t>
      </w:r>
    </w:p>
    <w:p w14:paraId="6B08D092" w14:textId="77777777" w:rsidR="00FC6C89" w:rsidRPr="00285CE5" w:rsidRDefault="00FC6C89" w:rsidP="00FC6C89">
      <w:pPr>
        <w:pStyle w:val="Sottotitolo"/>
        <w:spacing w:before="0" w:after="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it-IT" w:eastAsia="it-IT"/>
        </w:rPr>
      </w:pPr>
      <w:r w:rsidRPr="00285CE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it-IT" w:eastAsia="it-IT"/>
        </w:rPr>
        <w:t xml:space="preserve">Dipartimento </w:t>
      </w:r>
      <w:r w:rsidRPr="00285CE5">
        <w:rPr>
          <w:rFonts w:ascii="Times New Roman" w:hAnsi="Times New Roman" w:cs="Times New Roman"/>
          <w:i w:val="0"/>
          <w:iCs w:val="0"/>
          <w:sz w:val="24"/>
          <w:szCs w:val="24"/>
          <w:highlight w:val="yellow"/>
          <w:lang w:val="it-IT"/>
        </w:rPr>
        <w:t>[inserire il nome del Dipartimento]</w:t>
      </w:r>
    </w:p>
    <w:p w14:paraId="4C365C30" w14:textId="77777777" w:rsidR="00FC6C89" w:rsidRPr="00285CE5" w:rsidRDefault="00FC6C89" w:rsidP="00FC6C89">
      <w:pPr>
        <w:jc w:val="center"/>
        <w:rPr>
          <w:rFonts w:ascii="Times New Roman" w:eastAsia="Lucida Sans Unicode" w:hAnsi="Times New Roman" w:cs="Times New Roman"/>
          <w:b/>
          <w:bCs/>
          <w:iCs/>
          <w:sz w:val="24"/>
          <w:szCs w:val="24"/>
          <w:lang w:eastAsia="ar-SA"/>
        </w:rPr>
      </w:pPr>
    </w:p>
    <w:p w14:paraId="5C7B6DAF" w14:textId="77777777" w:rsidR="00FC6C89" w:rsidRPr="00285CE5" w:rsidRDefault="00FC6C89" w:rsidP="00FC6C89">
      <w:pPr>
        <w:jc w:val="center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Il Dirigente Generale/Il Dirigente dell’Area/Il Dirigente di Servizio</w:t>
      </w:r>
    </w:p>
    <w:p w14:paraId="062BC106" w14:textId="77777777" w:rsidR="00FC6C89" w:rsidRPr="00285CE5" w:rsidRDefault="00FC6C89" w:rsidP="00FC6C89">
      <w:pPr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5798AC9D" w14:textId="44F610F1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VISTO</w:t>
      </w:r>
      <w:r w:rsidR="000B0FE9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lo Statuto della Regione Siciliana;</w:t>
      </w:r>
    </w:p>
    <w:p w14:paraId="1722EE09" w14:textId="0FC64948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VISTA</w:t>
      </w:r>
      <w:r w:rsidR="000B0FE9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la Legge Regionale 8 luglio 1977, n. 47 “Norme in materia di bilancio e contabilità della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Regione Siciliana” e successive modifiche ed integrazioni;</w:t>
      </w:r>
    </w:p>
    <w:p w14:paraId="3212916F" w14:textId="4141AE3E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VISTA</w:t>
      </w:r>
      <w:r w:rsidR="000B0FE9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la L.R. 15 maggio 2000, n. 10;</w:t>
      </w:r>
    </w:p>
    <w:p w14:paraId="0D6211B7" w14:textId="66F4327C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VISTO</w:t>
      </w:r>
      <w:r w:rsidR="000B0FE9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il D. Lgs. n. 118 del 23/06/2011 e ss.mm.ii.;</w:t>
      </w:r>
    </w:p>
    <w:p w14:paraId="064E4A6A" w14:textId="628016B6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VISTA</w:t>
      </w:r>
      <w:r w:rsidR="000B0FE9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l’art. 11 della L.R. 3/2015;</w:t>
      </w:r>
    </w:p>
    <w:p w14:paraId="04896914" w14:textId="02553931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Hlk156838638"/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VISTA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 xml:space="preserve">la Legge Regionale </w:t>
      </w:r>
      <w:r w:rsidRPr="00285CE5">
        <w:rPr>
          <w:rFonts w:ascii="Times New Roman" w:hAnsi="Times New Roman" w:cs="Times New Roman"/>
          <w:sz w:val="24"/>
          <w:szCs w:val="24"/>
        </w:rPr>
        <w:t>16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</w:rPr>
        <w:t>Gennaio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 xml:space="preserve"> 202</w:t>
      </w:r>
      <w:r w:rsidRPr="00285CE5">
        <w:rPr>
          <w:rFonts w:ascii="Times New Roman" w:hAnsi="Times New Roman" w:cs="Times New Roman"/>
          <w:sz w:val="24"/>
          <w:szCs w:val="24"/>
        </w:rPr>
        <w:t>4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 xml:space="preserve">, n. </w:t>
      </w:r>
      <w:r w:rsidRPr="00285CE5">
        <w:rPr>
          <w:rFonts w:ascii="Times New Roman" w:hAnsi="Times New Roman" w:cs="Times New Roman"/>
          <w:sz w:val="24"/>
          <w:szCs w:val="24"/>
        </w:rPr>
        <w:t>2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 xml:space="preserve"> “Bilancio di previsione della Regione Siciliana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202</w:t>
      </w:r>
      <w:r w:rsidRPr="00285CE5">
        <w:rPr>
          <w:rFonts w:ascii="Times New Roman" w:hAnsi="Times New Roman" w:cs="Times New Roman"/>
          <w:sz w:val="24"/>
          <w:szCs w:val="24"/>
        </w:rPr>
        <w:t>4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/202</w:t>
      </w:r>
      <w:r w:rsidRPr="00285CE5">
        <w:rPr>
          <w:rFonts w:ascii="Times New Roman" w:hAnsi="Times New Roman" w:cs="Times New Roman"/>
          <w:sz w:val="24"/>
          <w:szCs w:val="24"/>
        </w:rPr>
        <w:t>6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;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highlight w:val="green"/>
        </w:rPr>
        <w:t>(</w:t>
      </w:r>
      <w:r w:rsidRPr="00285CE5">
        <w:rPr>
          <w:rFonts w:ascii="Times New Roman" w:hAnsi="Times New Roman" w:cs="Times New Roman"/>
          <w:i/>
          <w:iCs/>
          <w:sz w:val="24"/>
          <w:szCs w:val="24"/>
          <w:highlight w:val="green"/>
        </w:rPr>
        <w:t>da aggiornare ogni anno)</w:t>
      </w:r>
    </w:p>
    <w:p w14:paraId="2690C9F5" w14:textId="2F7C5270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VISTA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 xml:space="preserve">la delibera della Giunta regionale n. </w:t>
      </w:r>
      <w:r w:rsidRPr="00285CE5">
        <w:rPr>
          <w:rFonts w:ascii="Times New Roman" w:hAnsi="Times New Roman" w:cs="Times New Roman"/>
          <w:sz w:val="24"/>
          <w:szCs w:val="24"/>
        </w:rPr>
        <w:t>15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 xml:space="preserve"> del 22/01/2024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che ha approvato il Documento tecnico di accompagnamento, Bilancio finanziario gestionale, Perimetro sanitario e Piano degli indicatori;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highlight w:val="green"/>
        </w:rPr>
        <w:t>(</w:t>
      </w:r>
      <w:r w:rsidRPr="00285CE5">
        <w:rPr>
          <w:rFonts w:ascii="Times New Roman" w:hAnsi="Times New Roman" w:cs="Times New Roman"/>
          <w:i/>
          <w:iCs/>
          <w:sz w:val="24"/>
          <w:szCs w:val="24"/>
          <w:highlight w:val="green"/>
        </w:rPr>
        <w:t>da aggiornare ogni anno)</w:t>
      </w:r>
    </w:p>
    <w:bookmarkEnd w:id="0"/>
    <w:p w14:paraId="1BA07D7E" w14:textId="1814BFDE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il comma 6 dell’art. 98 della L.r. 7 maggio 2015, n.9 che ha sostituito il comma 5 dell’art. 68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della L.R. n. 21/2014;</w:t>
      </w:r>
    </w:p>
    <w:p w14:paraId="76FB1B2B" w14:textId="0920BDF2" w:rsidR="00FC6C89" w:rsidRPr="00285CE5" w:rsidRDefault="00FC6C89" w:rsidP="008B3C04">
      <w:pPr>
        <w:spacing w:before="12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 xml:space="preserve">il D. P, Reg. n. 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>[inserire estremi del D.P.Reg.]</w:t>
      </w:r>
      <w:r w:rsidRPr="00285CE5">
        <w:rPr>
          <w:rFonts w:ascii="Times New Roman" w:hAnsi="Times New Roman" w:cs="Times New Roman"/>
          <w:sz w:val="24"/>
          <w:szCs w:val="24"/>
        </w:rPr>
        <w:t xml:space="preserve"> con il quale è conferito ai sensi dell’art.11 della legge regionale 3 dicembre 2023 l’incarico di Dirigente generale del Dipartimento regionale 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>[inserire il nome del Dipartimento]</w:t>
      </w:r>
      <w:r w:rsidRPr="00285CE5">
        <w:rPr>
          <w:rFonts w:ascii="Times New Roman" w:hAnsi="Times New Roman" w:cs="Times New Roman"/>
          <w:sz w:val="24"/>
          <w:szCs w:val="24"/>
        </w:rPr>
        <w:t xml:space="preserve"> al/alla Dott./Dott.ssa  </w:t>
      </w:r>
      <w:bookmarkStart w:id="1" w:name="_Hlk149841666"/>
      <w:r w:rsidRPr="00285CE5">
        <w:rPr>
          <w:rFonts w:ascii="Times New Roman" w:hAnsi="Times New Roman" w:cs="Times New Roman"/>
          <w:sz w:val="24"/>
          <w:szCs w:val="24"/>
          <w:highlight w:val="yellow"/>
        </w:rPr>
        <w:t>[inserire il nome del Dirigente Generale]</w:t>
      </w:r>
      <w:r w:rsidRPr="00285CE5">
        <w:rPr>
          <w:rFonts w:ascii="Times New Roman" w:hAnsi="Times New Roman" w:cs="Times New Roman"/>
          <w:sz w:val="24"/>
          <w:szCs w:val="24"/>
        </w:rPr>
        <w:t>;</w:t>
      </w:r>
      <w:bookmarkEnd w:id="1"/>
    </w:p>
    <w:p w14:paraId="1A4E3D01" w14:textId="77777777" w:rsidR="00FC6C89" w:rsidRPr="00285CE5" w:rsidRDefault="00FC6C89" w:rsidP="008B3C04">
      <w:pPr>
        <w:spacing w:before="120"/>
        <w:ind w:left="992" w:right="-2" w:hanging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VISTO</w:t>
      </w:r>
      <w:r w:rsidRPr="00285CE5">
        <w:rPr>
          <w:rFonts w:ascii="Times New Roman" w:hAnsi="Times New Roman" w:cs="Times New Roman"/>
          <w:sz w:val="24"/>
          <w:szCs w:val="24"/>
        </w:rPr>
        <w:tab/>
      </w:r>
      <w:r w:rsidRPr="00285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D.D.G. </w:t>
      </w:r>
      <w:r w:rsidRPr="00285CE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[inserire estremi del D.D.G.]</w:t>
      </w:r>
      <w:r w:rsidRPr="00285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 il quale è stato conferito al/alla Dott./Dott.ssa </w:t>
      </w:r>
      <w:r w:rsidRPr="00285CE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[inserire il nome del Dirigente di Area/Servizio] </w:t>
      </w:r>
      <w:r w:rsidRPr="00285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l’incarico di Dirigente preposto all’Area/Servizio </w:t>
      </w:r>
      <w:r w:rsidRPr="00285CE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[inserire il nome dell’Area/Servizio]</w:t>
      </w:r>
      <w:r w:rsidRPr="00285CE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285CE5">
        <w:rPr>
          <w:rFonts w:ascii="Times New Roman" w:hAnsi="Times New Roman" w:cs="Times New Roman"/>
          <w:color w:val="000000" w:themeColor="text1"/>
          <w:sz w:val="24"/>
          <w:szCs w:val="24"/>
          <w:highlight w:val="green"/>
        </w:rPr>
        <w:t xml:space="preserve"> (</w:t>
      </w:r>
      <w:r w:rsidRPr="00285CE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highlight w:val="green"/>
        </w:rPr>
        <w:t>soltanto nel caso di decreti firmati da Dirigenti di Area o di Servizio)</w:t>
      </w:r>
    </w:p>
    <w:p w14:paraId="468716EB" w14:textId="77777777" w:rsidR="00FC6C89" w:rsidRPr="00285CE5" w:rsidRDefault="00FC6C89" w:rsidP="008B3C04">
      <w:pPr>
        <w:spacing w:before="120"/>
        <w:ind w:left="992" w:right="-2" w:hanging="992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sz w:val="24"/>
          <w:szCs w:val="24"/>
        </w:rPr>
        <w:t>VISTE</w:t>
      </w:r>
      <w:r w:rsidRPr="00285CE5">
        <w:rPr>
          <w:rFonts w:ascii="Times New Roman" w:hAnsi="Times New Roman" w:cs="Times New Roman"/>
          <w:b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>le circolari n. 11 del 01/07/2021, n. 17 del 10/12/2021 e n. 9 del 20/06/2022 dell’Assessorato Regionale all’Economia relative al “</w:t>
      </w:r>
      <w:r w:rsidRPr="00285CE5">
        <w:rPr>
          <w:rFonts w:ascii="Times New Roman" w:hAnsi="Times New Roman" w:cs="Times New Roman"/>
          <w:i/>
          <w:sz w:val="24"/>
          <w:szCs w:val="24"/>
        </w:rPr>
        <w:t>Protocollo d’intesa per l’interscambio dei flussi documentali</w:t>
      </w:r>
      <w:r w:rsidRPr="00285CE5">
        <w:rPr>
          <w:rFonts w:ascii="Times New Roman" w:hAnsi="Times New Roman" w:cs="Times New Roman"/>
          <w:sz w:val="24"/>
          <w:szCs w:val="24"/>
        </w:rPr>
        <w:t>”;</w:t>
      </w:r>
    </w:p>
    <w:p w14:paraId="4787211E" w14:textId="77777777" w:rsidR="00FC6C89" w:rsidRPr="00285CE5" w:rsidRDefault="00FC6C89" w:rsidP="008B3C04">
      <w:pPr>
        <w:spacing w:before="12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sz w:val="24"/>
          <w:szCs w:val="24"/>
        </w:rPr>
        <w:t>VISTA</w:t>
      </w:r>
      <w:r w:rsidRPr="00285CE5">
        <w:rPr>
          <w:rFonts w:ascii="Times New Roman" w:hAnsi="Times New Roman" w:cs="Times New Roman"/>
          <w:b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>la circolare n. 23 prot. n. 156284 del 27/12/2023 della Ragioneria Generale della Regione relativa alle prime indicazioni sulle modalità di trasmissione degli atti da sottoporre al controllo delle Ragionerie Centrali attraverso la nuova procedura contabile SCORE;</w:t>
      </w:r>
    </w:p>
    <w:p w14:paraId="260E5D62" w14:textId="1A2EA99B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il Regolamento (UE) 2021/1058 del 24 giugno 2021 relativo al Fondo europeo di sviluppo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regionale e al Fondo di coesione;</w:t>
      </w:r>
    </w:p>
    <w:p w14:paraId="10213825" w14:textId="66BC2472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il Regolamento (UE) 2021/1060 del 24 giugno 2021 recante le disposizioni comuni applicabili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al Fondo europeo di sviluppo regionale;</w:t>
      </w:r>
    </w:p>
    <w:p w14:paraId="6573981D" w14:textId="55ADC467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il Regolamento (UE) 2023/435 del 27 febbraio 2023 che modifica il regolamento (UE)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lastRenderedPageBreak/>
        <w:t>2021/241 e i regolamenti (UE) n. 1303/2013, (UE) 2021/1060 e (UE) 2021/1755, e la direttiva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2003/87/CE</w:t>
      </w:r>
    </w:p>
    <w:p w14:paraId="1E9F84FA" w14:textId="717028FE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la Decisione UE n. 9366/2022 del 08/12/2022 che adotta il Programma Regionale FESR Sicilia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2021-2027;</w:t>
      </w:r>
    </w:p>
    <w:p w14:paraId="68BD28A2" w14:textId="453C2DBE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  <w:lang w:val="x-none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l’Accordo di Partenariato 2021-2027 tra Unione Europea ed Italia adottato con Decisione di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Esecuzione della Commissione n. C(2022) 4787 del 15 luglio 2022, nel cui ambito viene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assegnata una dotazione di Euro 4.101.265.211,00 a titolo di cofinanziamento comunitario ed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>una dotazione di Euro 1.757.685.090,00 a titolo di cofinanziamento statale per il Programma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  <w:lang w:val="x-none"/>
        </w:rPr>
        <w:t xml:space="preserve">Regionale PR-FESR 2021-2027 della Regione Siciliana; </w:t>
      </w:r>
      <w:r w:rsidRPr="00285C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CCC96F" w14:textId="78C0C459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</w:rPr>
        <w:t>VISTA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>la deliberazione della Giunta regionale n. 519/2022, con la quale è stato apprezzato il PR FESR Sicilia 2021/2027 e il Documento metodologico di accompagnamento relativo al Quadro di riferimento dell'efficacia dell'attuazione ex articoli 16 e 17 del Regolamento (UE) 2021/1060 del Parlamento Europeo e del Consiglio del 24 giugno 2021</w:t>
      </w:r>
    </w:p>
    <w:p w14:paraId="3A588775" w14:textId="398CEF9E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</w:rPr>
        <w:t>VISTA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>la Deliberazione della Giunta regionale n. 102 del 15/02/2023 “Programma Regionale FESR Sicilia 2021/2027. Decisione della Commissione C(2022)9366 dell'8 dicembre 2022. Adozione definitiva” con la quale è stato adottato il PR-FESR SICILIA 2021/2027;</w:t>
      </w:r>
    </w:p>
    <w:p w14:paraId="71516F10" w14:textId="722634D2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</w:rPr>
        <w:t>VISTA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 xml:space="preserve">la Deliberazione della Giunta regionale n. 171 del 26/04/2023 che apprezza il </w:t>
      </w:r>
      <w:r w:rsidRPr="00285CE5">
        <w:rPr>
          <w:rFonts w:ascii="Times New Roman" w:hAnsi="Times New Roman" w:cs="Times New Roman"/>
          <w:i/>
          <w:sz w:val="24"/>
          <w:szCs w:val="24"/>
        </w:rPr>
        <w:t>“Documento Metodologia e criteri di selezione delle operazioni”</w:t>
      </w:r>
      <w:r w:rsidRPr="00285CE5">
        <w:rPr>
          <w:rFonts w:ascii="Times New Roman" w:hAnsi="Times New Roman" w:cs="Times New Roman"/>
          <w:sz w:val="24"/>
          <w:szCs w:val="24"/>
        </w:rPr>
        <w:t xml:space="preserve"> del PR FESR Sicilia 2021/2027;</w:t>
      </w:r>
    </w:p>
    <w:p w14:paraId="5C1EB7AA" w14:textId="2FDF948C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</w:rPr>
        <w:t>VISTA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 xml:space="preserve">la Deliberazione della Giunta regionale n. </w:t>
      </w:r>
      <w:r w:rsidR="00917EEC">
        <w:rPr>
          <w:rFonts w:ascii="Times New Roman" w:hAnsi="Times New Roman" w:cs="Times New Roman"/>
          <w:sz w:val="24"/>
          <w:szCs w:val="24"/>
        </w:rPr>
        <w:t>195</w:t>
      </w:r>
      <w:r w:rsidRPr="00285CE5">
        <w:rPr>
          <w:rFonts w:ascii="Times New Roman" w:hAnsi="Times New Roman" w:cs="Times New Roman"/>
          <w:sz w:val="24"/>
          <w:szCs w:val="24"/>
        </w:rPr>
        <w:t xml:space="preserve"> del 18/</w:t>
      </w:r>
      <w:r w:rsidR="00B04D69">
        <w:rPr>
          <w:rFonts w:ascii="Times New Roman" w:hAnsi="Times New Roman" w:cs="Times New Roman"/>
          <w:sz w:val="24"/>
          <w:szCs w:val="24"/>
        </w:rPr>
        <w:t>05</w:t>
      </w:r>
      <w:r w:rsidRPr="00285CE5">
        <w:rPr>
          <w:rFonts w:ascii="Times New Roman" w:hAnsi="Times New Roman" w:cs="Times New Roman"/>
          <w:sz w:val="24"/>
          <w:szCs w:val="24"/>
        </w:rPr>
        <w:t>/20</w:t>
      </w:r>
      <w:r w:rsidR="00B04D69">
        <w:rPr>
          <w:rFonts w:ascii="Times New Roman" w:hAnsi="Times New Roman" w:cs="Times New Roman"/>
          <w:sz w:val="24"/>
          <w:szCs w:val="24"/>
        </w:rPr>
        <w:t>23</w:t>
      </w:r>
      <w:r w:rsidRPr="00285CE5">
        <w:rPr>
          <w:rFonts w:ascii="Times New Roman" w:hAnsi="Times New Roman" w:cs="Times New Roman"/>
          <w:sz w:val="24"/>
          <w:szCs w:val="24"/>
        </w:rPr>
        <w:t xml:space="preserve"> che</w:t>
      </w:r>
      <w:r w:rsidR="00B04D69">
        <w:rPr>
          <w:rFonts w:ascii="Times New Roman" w:hAnsi="Times New Roman" w:cs="Times New Roman"/>
          <w:sz w:val="24"/>
          <w:szCs w:val="24"/>
        </w:rPr>
        <w:t xml:space="preserve"> ha modificato la DGR n. 171 del 26/04/2023</w:t>
      </w:r>
      <w:r w:rsidR="00371292">
        <w:rPr>
          <w:rFonts w:ascii="Times New Roman" w:hAnsi="Times New Roman" w:cs="Times New Roman"/>
          <w:sz w:val="24"/>
          <w:szCs w:val="24"/>
        </w:rPr>
        <w:t>, che</w:t>
      </w:r>
      <w:r w:rsidRPr="00285CE5">
        <w:rPr>
          <w:rFonts w:ascii="Times New Roman" w:hAnsi="Times New Roman" w:cs="Times New Roman"/>
          <w:sz w:val="24"/>
          <w:szCs w:val="24"/>
        </w:rPr>
        <w:t xml:space="preserve"> ha approvato i</w:t>
      </w:r>
      <w:r w:rsidR="00371292">
        <w:rPr>
          <w:rFonts w:ascii="Times New Roman" w:hAnsi="Times New Roman" w:cs="Times New Roman"/>
          <w:sz w:val="24"/>
          <w:szCs w:val="24"/>
        </w:rPr>
        <w:t>l</w:t>
      </w:r>
      <w:r w:rsidRPr="00285CE5">
        <w:rPr>
          <w:rFonts w:ascii="Times New Roman" w:hAnsi="Times New Roman" w:cs="Times New Roman"/>
          <w:sz w:val="24"/>
          <w:szCs w:val="24"/>
        </w:rPr>
        <w:t xml:space="preserve"> “</w:t>
      </w:r>
      <w:r w:rsidR="00371292">
        <w:rPr>
          <w:rFonts w:ascii="Times New Roman" w:hAnsi="Times New Roman" w:cs="Times New Roman"/>
          <w:i/>
          <w:sz w:val="24"/>
          <w:szCs w:val="24"/>
        </w:rPr>
        <w:t>Documento Metodologia e criteri di selezione delle operazioni</w:t>
      </w:r>
      <w:r w:rsidRPr="00285CE5">
        <w:rPr>
          <w:rFonts w:ascii="Times New Roman" w:hAnsi="Times New Roman" w:cs="Times New Roman"/>
          <w:sz w:val="24"/>
          <w:szCs w:val="24"/>
        </w:rPr>
        <w:t>”</w:t>
      </w:r>
      <w:r w:rsidR="00371292">
        <w:rPr>
          <w:rFonts w:ascii="Times New Roman" w:hAnsi="Times New Roman" w:cs="Times New Roman"/>
          <w:sz w:val="24"/>
          <w:szCs w:val="24"/>
        </w:rPr>
        <w:t xml:space="preserve"> del Programma Regionale FESR Sicilia 2021/2027</w:t>
      </w:r>
      <w:r w:rsidRPr="00285CE5">
        <w:rPr>
          <w:rFonts w:ascii="Times New Roman" w:hAnsi="Times New Roman" w:cs="Times New Roman"/>
          <w:sz w:val="24"/>
          <w:szCs w:val="24"/>
        </w:rPr>
        <w:t>;</w:t>
      </w:r>
    </w:p>
    <w:p w14:paraId="2178E288" w14:textId="0A3270D2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>il comma 2 dell’art. 56 del D. Lgs. n. 118/2011 che stabilisce che “</w:t>
      </w:r>
      <w:r w:rsidRPr="00285CE5">
        <w:rPr>
          <w:rFonts w:ascii="Times New Roman" w:hAnsi="Times New Roman" w:cs="Times New Roman"/>
          <w:i/>
          <w:iCs/>
          <w:sz w:val="24"/>
          <w:szCs w:val="24"/>
        </w:rPr>
        <w:t>L'impegno costituisce la fase della spesa con la quale viene riconosciuto il perfezionamento di un'obbligazione giuridica passiva, ed è determinata la ragione del debito, la somma da pagare, il soggetto creditore, la specificazione del vincolo costituito sullo stanziamento di bilancio e la data di scadenza</w:t>
      </w:r>
      <w:r w:rsidRPr="00285CE5">
        <w:rPr>
          <w:rFonts w:ascii="Times New Roman" w:hAnsi="Times New Roman" w:cs="Times New Roman"/>
          <w:sz w:val="24"/>
          <w:szCs w:val="24"/>
        </w:rPr>
        <w:t>”;</w:t>
      </w:r>
    </w:p>
    <w:p w14:paraId="359732DB" w14:textId="587CCD61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>l’Allegato 4.2 del D. Lgs. n. 118/2011;</w:t>
      </w:r>
    </w:p>
    <w:p w14:paraId="0486BEEC" w14:textId="18A5736D" w:rsidR="00FC6C89" w:rsidRPr="00285CE5" w:rsidRDefault="00FC6C89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 xml:space="preserve">il SI.Ge.CO., che individua il Dipartimento 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>[inserire il nome del Dipartimento accertante]</w:t>
      </w:r>
      <w:r w:rsidRPr="00285CE5">
        <w:rPr>
          <w:rFonts w:ascii="Times New Roman" w:hAnsi="Times New Roman" w:cs="Times New Roman"/>
          <w:sz w:val="24"/>
          <w:szCs w:val="24"/>
        </w:rPr>
        <w:t xml:space="preserve"> quale CdR del PR Sicilia FESR 2021-2027;</w:t>
      </w:r>
    </w:p>
    <w:p w14:paraId="69DE4D5E" w14:textId="5212412C" w:rsidR="006C7CDA" w:rsidRPr="006C7CDA" w:rsidRDefault="00781B68" w:rsidP="00524EAE">
      <w:pPr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781B68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81B68">
        <w:rPr>
          <w:rFonts w:ascii="Times New Roman" w:hAnsi="Times New Roman" w:cs="Times New Roman"/>
          <w:sz w:val="24"/>
          <w:szCs w:val="24"/>
        </w:rPr>
        <w:t xml:space="preserve">il Manuale di attuazione del PR Sicilia FESR 2021-2027 nel quale è disposto al punto </w:t>
      </w:r>
      <w:r w:rsidR="00D306B6">
        <w:rPr>
          <w:rFonts w:ascii="Times New Roman" w:hAnsi="Times New Roman" w:cs="Times New Roman"/>
          <w:sz w:val="24"/>
          <w:szCs w:val="24"/>
        </w:rPr>
        <w:t xml:space="preserve">8.1 </w:t>
      </w:r>
      <w:r w:rsidR="006F5EC5">
        <w:rPr>
          <w:rFonts w:ascii="Times New Roman" w:hAnsi="Times New Roman" w:cs="Times New Roman"/>
          <w:sz w:val="24"/>
          <w:szCs w:val="24"/>
        </w:rPr>
        <w:t>“l</w:t>
      </w:r>
      <w:r w:rsidR="006C7CDA" w:rsidRPr="006C7CDA">
        <w:rPr>
          <w:rFonts w:ascii="Times New Roman" w:hAnsi="Times New Roman" w:cs="Times New Roman"/>
          <w:sz w:val="24"/>
          <w:szCs w:val="24"/>
        </w:rPr>
        <w:t>'art. 63, paragrafo 6, del CPR, introducendo la possibilità di attrarre al PR operazioni avviate con altra fonte finanziaria e altra programmazione, stabilisce, come criterio generale, che “non sono selezionate per ricevere sostegno dai Fondi le operazioni materialmente completate o pienamente attuate prima che sia presentata la domanda di finanziamento a titolo del Programma a prescindere dal fatto che tutti i relativi pagamenti siano stati effettuati o meno”.</w:t>
      </w:r>
      <w:r w:rsidR="006C7CDA">
        <w:rPr>
          <w:rFonts w:ascii="Times New Roman" w:hAnsi="Times New Roman" w:cs="Times New Roman"/>
          <w:sz w:val="24"/>
          <w:szCs w:val="24"/>
        </w:rPr>
        <w:t xml:space="preserve"> </w:t>
      </w:r>
      <w:r w:rsidR="006C7CDA" w:rsidRPr="006C7CDA">
        <w:rPr>
          <w:rFonts w:ascii="Times New Roman" w:hAnsi="Times New Roman" w:cs="Times New Roman"/>
          <w:sz w:val="24"/>
          <w:szCs w:val="24"/>
        </w:rPr>
        <w:t>Pertanto, qualsiasi operazione, che sia inerente a opere pubbliche, ad acquisizione di beni e servizi per la P.A. e ad aiuti, può essere ammessa a finanziamento a valere sul PR, indipendentemente dalla fonte di finanziamento originaria (cosiddetti “Progetti retrospettivi sotto le medesime condizioni di verifica per la selezione dei progetti a titolarità o a regia di cui ai precedenti paragrafi del presente Manuale), ovvero:</w:t>
      </w:r>
    </w:p>
    <w:p w14:paraId="104B0E61" w14:textId="77777777" w:rsidR="006C7CDA" w:rsidRPr="006C7CDA" w:rsidRDefault="006C7CDA" w:rsidP="00475FD4">
      <w:pPr>
        <w:ind w:left="1843" w:hanging="448"/>
        <w:jc w:val="both"/>
        <w:rPr>
          <w:rFonts w:ascii="Times New Roman" w:hAnsi="Times New Roman" w:cs="Times New Roman"/>
          <w:sz w:val="24"/>
          <w:szCs w:val="24"/>
        </w:rPr>
      </w:pPr>
      <w:r w:rsidRPr="006C7CDA">
        <w:rPr>
          <w:rFonts w:ascii="Times New Roman" w:hAnsi="Times New Roman" w:cs="Times New Roman"/>
          <w:sz w:val="24"/>
          <w:szCs w:val="24"/>
        </w:rPr>
        <w:t>1. l'operazione deve essere coerente con il PR;</w:t>
      </w:r>
    </w:p>
    <w:p w14:paraId="2A73630D" w14:textId="77777777" w:rsidR="006C7CDA" w:rsidRPr="006C7CDA" w:rsidRDefault="006C7CDA" w:rsidP="00475FD4">
      <w:pPr>
        <w:ind w:left="1843" w:hanging="448"/>
        <w:jc w:val="both"/>
        <w:rPr>
          <w:rFonts w:ascii="Times New Roman" w:hAnsi="Times New Roman" w:cs="Times New Roman"/>
          <w:sz w:val="24"/>
          <w:szCs w:val="24"/>
        </w:rPr>
      </w:pPr>
      <w:r w:rsidRPr="006C7CDA">
        <w:rPr>
          <w:rFonts w:ascii="Times New Roman" w:hAnsi="Times New Roman" w:cs="Times New Roman"/>
          <w:sz w:val="24"/>
          <w:szCs w:val="24"/>
        </w:rPr>
        <w:t>2. l’operazione non deve essere stata finanziata a valere delle risorse del PNRR;</w:t>
      </w:r>
    </w:p>
    <w:p w14:paraId="27ABABF6" w14:textId="77777777" w:rsidR="006C7CDA" w:rsidRPr="006C7CDA" w:rsidRDefault="006C7CDA" w:rsidP="00475FD4">
      <w:pPr>
        <w:ind w:left="1843" w:hanging="448"/>
        <w:jc w:val="both"/>
        <w:rPr>
          <w:rFonts w:ascii="Times New Roman" w:hAnsi="Times New Roman" w:cs="Times New Roman"/>
          <w:sz w:val="24"/>
          <w:szCs w:val="24"/>
        </w:rPr>
      </w:pPr>
      <w:r w:rsidRPr="006C7CDA">
        <w:rPr>
          <w:rFonts w:ascii="Times New Roman" w:hAnsi="Times New Roman" w:cs="Times New Roman"/>
          <w:sz w:val="24"/>
          <w:szCs w:val="24"/>
        </w:rPr>
        <w:t>3. al momento dell’ammissione a finanziamento del PR, l’operazione non deve essere completata materialmente, indipendentemente dai pagamenti effettuati;</w:t>
      </w:r>
    </w:p>
    <w:p w14:paraId="7FF0C5B8" w14:textId="77777777" w:rsidR="006C7CDA" w:rsidRPr="006C7CDA" w:rsidRDefault="006C7CDA" w:rsidP="00475FD4">
      <w:pPr>
        <w:ind w:left="1843" w:hanging="448"/>
        <w:jc w:val="both"/>
        <w:rPr>
          <w:rFonts w:ascii="Times New Roman" w:hAnsi="Times New Roman" w:cs="Times New Roman"/>
          <w:sz w:val="24"/>
          <w:szCs w:val="24"/>
        </w:rPr>
      </w:pPr>
      <w:r w:rsidRPr="006C7CDA">
        <w:rPr>
          <w:rFonts w:ascii="Times New Roman" w:hAnsi="Times New Roman" w:cs="Times New Roman"/>
          <w:sz w:val="24"/>
          <w:szCs w:val="24"/>
        </w:rPr>
        <w:t xml:space="preserve">4. devono essere rispettate le disposizioni normative di ammissibilità della spesa di cui al D.P.R. n. 22/2018 “Regolamento recante i criteri sull’ammissibilità delle spese per i programmi cofinanziati dai Fondi strutturali e di investimento europei (SIE) per il periodo di programmazione 2014-2020” (e comunque delle </w:t>
      </w:r>
      <w:r w:rsidRPr="006C7CDA">
        <w:rPr>
          <w:rFonts w:ascii="Times New Roman" w:hAnsi="Times New Roman" w:cs="Times New Roman"/>
          <w:sz w:val="24"/>
          <w:szCs w:val="24"/>
        </w:rPr>
        <w:lastRenderedPageBreak/>
        <w:t>pertinenti disposizioni comunitarie in materia), nelle more dell’adozione della nuova normativa nazionale sull’ammissibilità delle spese;</w:t>
      </w:r>
    </w:p>
    <w:p w14:paraId="52DE1D60" w14:textId="77777777" w:rsidR="006C7CDA" w:rsidRPr="006C7CDA" w:rsidRDefault="006C7CDA" w:rsidP="00475FD4">
      <w:pPr>
        <w:ind w:left="1843" w:hanging="448"/>
        <w:jc w:val="both"/>
        <w:rPr>
          <w:rFonts w:ascii="Times New Roman" w:hAnsi="Times New Roman" w:cs="Times New Roman"/>
          <w:sz w:val="24"/>
          <w:szCs w:val="24"/>
        </w:rPr>
      </w:pPr>
      <w:r w:rsidRPr="006C7CDA">
        <w:rPr>
          <w:rFonts w:ascii="Times New Roman" w:hAnsi="Times New Roman" w:cs="Times New Roman"/>
          <w:sz w:val="24"/>
          <w:szCs w:val="24"/>
        </w:rPr>
        <w:t>5. deve essere verificata la coerenza con la Pista di controllo della procedura di selezione e successiva eventuale imputazione dell’operazione originariamente finanziato con risorse diverse dai fondi SIE;</w:t>
      </w:r>
    </w:p>
    <w:p w14:paraId="2E19DDB1" w14:textId="77777777" w:rsidR="006C7CDA" w:rsidRPr="006C7CDA" w:rsidRDefault="006C7CDA" w:rsidP="00475FD4">
      <w:pPr>
        <w:ind w:left="1843" w:hanging="448"/>
        <w:jc w:val="both"/>
        <w:rPr>
          <w:rFonts w:ascii="Times New Roman" w:hAnsi="Times New Roman" w:cs="Times New Roman"/>
          <w:sz w:val="24"/>
          <w:szCs w:val="24"/>
        </w:rPr>
      </w:pPr>
      <w:r w:rsidRPr="006C7CDA">
        <w:rPr>
          <w:rFonts w:ascii="Times New Roman" w:hAnsi="Times New Roman" w:cs="Times New Roman"/>
          <w:sz w:val="24"/>
          <w:szCs w:val="24"/>
        </w:rPr>
        <w:t>6. l’operazione deve concorrere al raggiungimento dei target fisici, finanziari e di risultato del PR;</w:t>
      </w:r>
    </w:p>
    <w:p w14:paraId="315AA5C5" w14:textId="4CF00133" w:rsidR="006C7CDA" w:rsidRPr="006C7CDA" w:rsidRDefault="006C7CDA" w:rsidP="00475FD4">
      <w:pPr>
        <w:ind w:left="1843" w:hanging="448"/>
        <w:jc w:val="both"/>
        <w:rPr>
          <w:rFonts w:ascii="Times New Roman" w:hAnsi="Times New Roman" w:cs="Times New Roman"/>
          <w:sz w:val="24"/>
          <w:szCs w:val="24"/>
        </w:rPr>
      </w:pPr>
      <w:r w:rsidRPr="006C7CDA">
        <w:rPr>
          <w:rFonts w:ascii="Times New Roman" w:hAnsi="Times New Roman" w:cs="Times New Roman"/>
          <w:sz w:val="24"/>
          <w:szCs w:val="24"/>
        </w:rPr>
        <w:t>7. l’operazione deve essere verificata sotto il profilo del rispetto dei principi DNSH e non deve arrecare un danno significativo a nessun obiettivo ambientale.</w:t>
      </w:r>
    </w:p>
    <w:p w14:paraId="25CAE59C" w14:textId="57C3E9AB" w:rsidR="00EE532A" w:rsidRPr="00781B68" w:rsidRDefault="006C7CDA" w:rsidP="00A812D7">
      <w:pPr>
        <w:spacing w:before="12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C7CDA">
        <w:rPr>
          <w:rFonts w:ascii="Times New Roman" w:hAnsi="Times New Roman" w:cs="Times New Roman"/>
          <w:sz w:val="24"/>
          <w:szCs w:val="24"/>
        </w:rPr>
        <w:t>Le condizioni di cui sopra non sono applicate alle operazioni volte a “dare risposta a una catastrofe naturale” o relative alle condizioni di cui all’art. 20 del CPR - “Misure temporanee per l’utilizzo dei fondi in risposta a circostanze eccezionali o inconsuete”</w:t>
      </w:r>
      <w:r w:rsidR="00BC7BD7">
        <w:rPr>
          <w:rFonts w:ascii="Times New Roman" w:hAnsi="Times New Roman" w:cs="Times New Roman"/>
          <w:sz w:val="24"/>
          <w:szCs w:val="24"/>
        </w:rPr>
        <w:t>;</w:t>
      </w:r>
    </w:p>
    <w:p w14:paraId="52D9290E" w14:textId="559D5AEF" w:rsidR="00C15DFC" w:rsidRDefault="00C15DFC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CONSIDERATO </w:t>
      </w:r>
      <w:r>
        <w:rPr>
          <w:rFonts w:ascii="Times New Roman" w:hAnsi="Times New Roman" w:cs="Times New Roman"/>
          <w:sz w:val="24"/>
          <w:szCs w:val="24"/>
        </w:rPr>
        <w:t xml:space="preserve">che </w:t>
      </w:r>
      <w:r w:rsidR="00705827">
        <w:rPr>
          <w:rFonts w:ascii="Times New Roman" w:hAnsi="Times New Roman" w:cs="Times New Roman"/>
          <w:sz w:val="24"/>
          <w:szCs w:val="24"/>
        </w:rPr>
        <w:t>il</w:t>
      </w:r>
      <w:r w:rsidR="00705827" w:rsidRPr="00705827">
        <w:rPr>
          <w:rFonts w:ascii="Times New Roman" w:hAnsi="Times New Roman" w:cs="Times New Roman"/>
          <w:sz w:val="24"/>
          <w:szCs w:val="24"/>
        </w:rPr>
        <w:t xml:space="preserve"> procedimento</w:t>
      </w:r>
      <w:r w:rsidR="00705827">
        <w:rPr>
          <w:rFonts w:ascii="Times New Roman" w:hAnsi="Times New Roman" w:cs="Times New Roman"/>
          <w:sz w:val="24"/>
          <w:szCs w:val="24"/>
        </w:rPr>
        <w:t xml:space="preserve"> </w:t>
      </w:r>
      <w:r w:rsidR="00705827" w:rsidRPr="00705827">
        <w:rPr>
          <w:rFonts w:ascii="Times New Roman" w:hAnsi="Times New Roman" w:cs="Times New Roman"/>
          <w:sz w:val="24"/>
          <w:szCs w:val="24"/>
        </w:rPr>
        <w:t>di selezione delle operazioni da attrarre al PR è suddiviso in cinque fasi che dettagliano gli adempimenti in capo ad ogni singolo CdR del PR</w:t>
      </w:r>
      <w:r w:rsidR="00BC7BD7">
        <w:rPr>
          <w:rFonts w:ascii="Times New Roman" w:hAnsi="Times New Roman" w:cs="Times New Roman"/>
          <w:sz w:val="24"/>
          <w:szCs w:val="24"/>
        </w:rPr>
        <w:t xml:space="preserve"> e</w:t>
      </w:r>
      <w:r w:rsidR="003A37D5">
        <w:rPr>
          <w:rFonts w:ascii="Times New Roman" w:hAnsi="Times New Roman" w:cs="Times New Roman"/>
          <w:sz w:val="24"/>
          <w:szCs w:val="24"/>
        </w:rPr>
        <w:t xml:space="preserve"> che</w:t>
      </w:r>
      <w:r w:rsidR="00705827" w:rsidRPr="00705827">
        <w:rPr>
          <w:rFonts w:ascii="Times New Roman" w:hAnsi="Times New Roman" w:cs="Times New Roman"/>
          <w:sz w:val="24"/>
          <w:szCs w:val="24"/>
        </w:rPr>
        <w:t xml:space="preserve"> </w:t>
      </w:r>
      <w:r w:rsidR="000F7126">
        <w:rPr>
          <w:rFonts w:ascii="Times New Roman" w:hAnsi="Times New Roman" w:cs="Times New Roman"/>
          <w:sz w:val="24"/>
          <w:szCs w:val="24"/>
        </w:rPr>
        <w:t>“</w:t>
      </w:r>
      <w:r w:rsidR="00705827" w:rsidRPr="00705827">
        <w:rPr>
          <w:rFonts w:ascii="Times New Roman" w:hAnsi="Times New Roman" w:cs="Times New Roman"/>
          <w:sz w:val="24"/>
          <w:szCs w:val="24"/>
        </w:rPr>
        <w:t>tutti i provvedimenti emessi nel corso del procedimento di selezione non hanno “effetti contabili” sul bilancio della Regione Siciliana sino al momento di effettiva imputazione dell’operazione e</w:t>
      </w:r>
      <w:r w:rsidR="00705827" w:rsidRPr="00BC7BD7">
        <w:rPr>
          <w:rFonts w:ascii="Times New Roman" w:hAnsi="Times New Roman" w:cs="Times New Roman"/>
          <w:sz w:val="24"/>
          <w:szCs w:val="24"/>
        </w:rPr>
        <w:t>, quindi, sino all’emissione del Decreto di</w:t>
      </w:r>
      <w:r w:rsidR="000F7126" w:rsidRPr="00BC7BD7">
        <w:rPr>
          <w:rFonts w:ascii="Times New Roman" w:hAnsi="Times New Roman" w:cs="Times New Roman"/>
          <w:sz w:val="24"/>
          <w:szCs w:val="24"/>
        </w:rPr>
        <w:t xml:space="preserve"> </w:t>
      </w:r>
      <w:r w:rsidR="00705827" w:rsidRPr="00BC7BD7">
        <w:rPr>
          <w:rFonts w:ascii="Times New Roman" w:hAnsi="Times New Roman" w:cs="Times New Roman"/>
          <w:sz w:val="24"/>
          <w:szCs w:val="24"/>
        </w:rPr>
        <w:t>finanziamento</w:t>
      </w:r>
      <w:r w:rsidR="000F7126" w:rsidRPr="00BC7BD7">
        <w:rPr>
          <w:rFonts w:ascii="Times New Roman" w:hAnsi="Times New Roman" w:cs="Times New Roman"/>
          <w:sz w:val="24"/>
          <w:szCs w:val="24"/>
        </w:rPr>
        <w:t xml:space="preserve"> </w:t>
      </w:r>
      <w:r w:rsidR="00705827" w:rsidRPr="00BC7BD7">
        <w:rPr>
          <w:rFonts w:ascii="Times New Roman" w:hAnsi="Times New Roman" w:cs="Times New Roman"/>
          <w:sz w:val="24"/>
          <w:szCs w:val="24"/>
        </w:rPr>
        <w:t>entro i termini di chiusura del PR</w:t>
      </w:r>
      <w:r w:rsidR="000F7126" w:rsidRPr="00BC7BD7">
        <w:rPr>
          <w:rFonts w:ascii="Times New Roman" w:hAnsi="Times New Roman" w:cs="Times New Roman"/>
          <w:sz w:val="24"/>
          <w:szCs w:val="24"/>
        </w:rPr>
        <w:t>”</w:t>
      </w:r>
      <w:r w:rsidR="00212CF5" w:rsidRPr="00BC7BD7">
        <w:rPr>
          <w:rFonts w:ascii="Times New Roman" w:hAnsi="Times New Roman" w:cs="Times New Roman"/>
          <w:sz w:val="24"/>
          <w:szCs w:val="24"/>
        </w:rPr>
        <w:t>;</w:t>
      </w:r>
    </w:p>
    <w:p w14:paraId="421E8B20" w14:textId="3C22B16C" w:rsidR="00BC7BD7" w:rsidRPr="00BC7BD7" w:rsidRDefault="00BC7BD7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il Decreto n 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>
        <w:rPr>
          <w:rFonts w:ascii="Times New Roman" w:hAnsi="Times New Roman" w:cs="Times New Roman"/>
          <w:sz w:val="24"/>
          <w:szCs w:val="24"/>
          <w:highlight w:val="yellow"/>
        </w:rPr>
        <w:t>gli estremi del decreto di impegno sulla fonte originaria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con il quale 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>
        <w:rPr>
          <w:rFonts w:ascii="Times New Roman" w:hAnsi="Times New Roman" w:cs="Times New Roman"/>
          <w:sz w:val="24"/>
          <w:szCs w:val="24"/>
          <w:highlight w:val="yellow"/>
        </w:rPr>
        <w:t>la denominazione dell’Amministrazione che ha adottato l’atto di impegno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ha impegnato le risorse per la copertura finanziaria delle operazioni 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>
        <w:rPr>
          <w:rFonts w:ascii="Times New Roman" w:hAnsi="Times New Roman" w:cs="Times New Roman"/>
          <w:sz w:val="24"/>
          <w:szCs w:val="24"/>
          <w:highlight w:val="yellow"/>
        </w:rPr>
        <w:t>la denominazione delle operazioni da attrarre al PR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per un importo complessivo di € 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>
        <w:rPr>
          <w:rFonts w:ascii="Times New Roman" w:hAnsi="Times New Roman" w:cs="Times New Roman"/>
          <w:sz w:val="24"/>
          <w:szCs w:val="24"/>
          <w:highlight w:val="yellow"/>
        </w:rPr>
        <w:t>la quantificazione economica delle operazioni finanziate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a valere sul 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>
        <w:rPr>
          <w:rFonts w:ascii="Times New Roman" w:hAnsi="Times New Roman" w:cs="Times New Roman"/>
          <w:sz w:val="24"/>
          <w:szCs w:val="24"/>
          <w:highlight w:val="yellow"/>
        </w:rPr>
        <w:t>la definizione della originaria fonte di finanziamento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553FE7" w14:textId="13A8B915" w:rsidR="00303417" w:rsidRDefault="00A62FE6" w:rsidP="00524EAE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A62FE6">
        <w:rPr>
          <w:rFonts w:ascii="Times New Roman" w:hAnsi="Times New Roman" w:cs="Times New Roman"/>
          <w:b/>
          <w:bCs/>
          <w:sz w:val="24"/>
          <w:szCs w:val="24"/>
        </w:rPr>
        <w:t>VIST</w:t>
      </w:r>
      <w:r w:rsidR="001E27A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E27AB">
        <w:rPr>
          <w:rFonts w:ascii="Times New Roman" w:hAnsi="Times New Roman" w:cs="Times New Roman"/>
          <w:sz w:val="24"/>
          <w:szCs w:val="24"/>
        </w:rPr>
        <w:t>la nota prot. n.</w:t>
      </w:r>
      <w:r w:rsidR="00C47F0C">
        <w:rPr>
          <w:rFonts w:ascii="Times New Roman" w:hAnsi="Times New Roman" w:cs="Times New Roman"/>
          <w:sz w:val="24"/>
          <w:szCs w:val="24"/>
        </w:rPr>
        <w:t xml:space="preserve"> </w:t>
      </w:r>
      <w:r w:rsidR="00C47F0C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C47F0C">
        <w:rPr>
          <w:rFonts w:ascii="Times New Roman" w:hAnsi="Times New Roman" w:cs="Times New Roman"/>
          <w:sz w:val="24"/>
          <w:szCs w:val="24"/>
          <w:highlight w:val="yellow"/>
        </w:rPr>
        <w:t>gli estremi del</w:t>
      </w:r>
      <w:r w:rsidR="001E27AB">
        <w:rPr>
          <w:rFonts w:ascii="Times New Roman" w:hAnsi="Times New Roman" w:cs="Times New Roman"/>
          <w:sz w:val="24"/>
          <w:szCs w:val="24"/>
          <w:highlight w:val="yellow"/>
        </w:rPr>
        <w:t>la</w:t>
      </w:r>
      <w:r w:rsidR="00C47F0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E27AB">
        <w:rPr>
          <w:rFonts w:ascii="Times New Roman" w:hAnsi="Times New Roman" w:cs="Times New Roman"/>
          <w:sz w:val="24"/>
          <w:szCs w:val="24"/>
          <w:highlight w:val="yellow"/>
        </w:rPr>
        <w:t>nota</w:t>
      </w:r>
      <w:r w:rsidR="00C47F0C">
        <w:rPr>
          <w:rFonts w:ascii="Times New Roman" w:hAnsi="Times New Roman" w:cs="Times New Roman"/>
          <w:sz w:val="24"/>
          <w:szCs w:val="24"/>
          <w:highlight w:val="yellow"/>
        </w:rPr>
        <w:t xml:space="preserve"> di indirizzo</w:t>
      </w:r>
      <w:r w:rsidR="00C47F0C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EC2FEF">
        <w:rPr>
          <w:rFonts w:ascii="Times New Roman" w:hAnsi="Times New Roman" w:cs="Times New Roman"/>
          <w:sz w:val="24"/>
          <w:szCs w:val="24"/>
        </w:rPr>
        <w:t xml:space="preserve"> con </w:t>
      </w:r>
      <w:r w:rsidR="001E27AB">
        <w:rPr>
          <w:rFonts w:ascii="Times New Roman" w:hAnsi="Times New Roman" w:cs="Times New Roman"/>
          <w:sz w:val="24"/>
          <w:szCs w:val="24"/>
        </w:rPr>
        <w:t>la</w:t>
      </w:r>
      <w:r w:rsidR="00C00DE8">
        <w:rPr>
          <w:rFonts w:ascii="Times New Roman" w:hAnsi="Times New Roman" w:cs="Times New Roman"/>
          <w:sz w:val="24"/>
          <w:szCs w:val="24"/>
        </w:rPr>
        <w:t xml:space="preserve"> quale</w:t>
      </w:r>
      <w:r w:rsidR="009A7D1F">
        <w:rPr>
          <w:rFonts w:ascii="Times New Roman" w:hAnsi="Times New Roman" w:cs="Times New Roman"/>
          <w:sz w:val="24"/>
          <w:szCs w:val="24"/>
        </w:rPr>
        <w:t xml:space="preserve"> il CdR ha comunicato all’</w:t>
      </w:r>
      <w:r w:rsidR="00E14D18">
        <w:rPr>
          <w:rFonts w:ascii="Times New Roman" w:hAnsi="Times New Roman" w:cs="Times New Roman"/>
          <w:sz w:val="24"/>
          <w:szCs w:val="24"/>
        </w:rPr>
        <w:t xml:space="preserve">ACAdG l’elenco delle </w:t>
      </w:r>
      <w:r w:rsidR="005B0D4E">
        <w:rPr>
          <w:rFonts w:ascii="Times New Roman" w:hAnsi="Times New Roman" w:cs="Times New Roman"/>
          <w:sz w:val="24"/>
          <w:szCs w:val="24"/>
        </w:rPr>
        <w:t>operazioni</w:t>
      </w:r>
      <w:r w:rsidR="00697FA0">
        <w:rPr>
          <w:rFonts w:ascii="Times New Roman" w:hAnsi="Times New Roman" w:cs="Times New Roman"/>
          <w:sz w:val="24"/>
          <w:szCs w:val="24"/>
        </w:rPr>
        <w:t xml:space="preserve"> relative a</w:t>
      </w:r>
      <w:r w:rsidR="00C00DE8">
        <w:rPr>
          <w:rFonts w:ascii="Times New Roman" w:hAnsi="Times New Roman" w:cs="Times New Roman"/>
          <w:sz w:val="24"/>
          <w:szCs w:val="24"/>
        </w:rPr>
        <w:t xml:space="preserve"> </w:t>
      </w:r>
      <w:r w:rsidR="00C00DE8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D17957">
        <w:rPr>
          <w:rFonts w:ascii="Times New Roman" w:hAnsi="Times New Roman" w:cs="Times New Roman"/>
          <w:sz w:val="24"/>
          <w:szCs w:val="24"/>
          <w:highlight w:val="yellow"/>
        </w:rPr>
        <w:t>la denominazione delle operazioni</w:t>
      </w:r>
      <w:r w:rsidR="00C00DE8">
        <w:rPr>
          <w:rFonts w:ascii="Times New Roman" w:hAnsi="Times New Roman" w:cs="Times New Roman"/>
          <w:sz w:val="24"/>
          <w:szCs w:val="24"/>
          <w:highlight w:val="yellow"/>
        </w:rPr>
        <w:t xml:space="preserve"> da attrarre al PR</w:t>
      </w:r>
      <w:r w:rsidR="00C00DE8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1530B3">
        <w:rPr>
          <w:rFonts w:ascii="Times New Roman" w:hAnsi="Times New Roman" w:cs="Times New Roman"/>
          <w:sz w:val="24"/>
          <w:szCs w:val="24"/>
        </w:rPr>
        <w:t xml:space="preserve"> </w:t>
      </w:r>
      <w:r w:rsidR="002F4A97">
        <w:rPr>
          <w:rFonts w:ascii="Times New Roman" w:hAnsi="Times New Roman" w:cs="Times New Roman"/>
          <w:sz w:val="24"/>
          <w:szCs w:val="24"/>
        </w:rPr>
        <w:t xml:space="preserve">per un importo complessivo di € </w:t>
      </w:r>
      <w:r w:rsidR="002F4A97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0E13BB">
        <w:rPr>
          <w:rFonts w:ascii="Times New Roman" w:hAnsi="Times New Roman" w:cs="Times New Roman"/>
          <w:sz w:val="24"/>
          <w:szCs w:val="24"/>
          <w:highlight w:val="yellow"/>
        </w:rPr>
        <w:t>la quantificazione economica delle operazioni da attrarre al PR</w:t>
      </w:r>
      <w:r w:rsidR="002F4A97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DE5431">
        <w:rPr>
          <w:rFonts w:ascii="Times New Roman" w:hAnsi="Times New Roman" w:cs="Times New Roman"/>
          <w:sz w:val="24"/>
          <w:szCs w:val="24"/>
        </w:rPr>
        <w:t xml:space="preserve"> individuate</w:t>
      </w:r>
      <w:r w:rsidR="002641F6">
        <w:rPr>
          <w:rFonts w:ascii="Times New Roman" w:hAnsi="Times New Roman" w:cs="Times New Roman"/>
          <w:sz w:val="24"/>
          <w:szCs w:val="24"/>
        </w:rPr>
        <w:t xml:space="preserve"> per essere</w:t>
      </w:r>
      <w:r w:rsidR="00251808">
        <w:rPr>
          <w:rFonts w:ascii="Times New Roman" w:hAnsi="Times New Roman" w:cs="Times New Roman"/>
          <w:sz w:val="24"/>
          <w:szCs w:val="24"/>
        </w:rPr>
        <w:t xml:space="preserve"> attra</w:t>
      </w:r>
      <w:r w:rsidR="002641F6">
        <w:rPr>
          <w:rFonts w:ascii="Times New Roman" w:hAnsi="Times New Roman" w:cs="Times New Roman"/>
          <w:sz w:val="24"/>
          <w:szCs w:val="24"/>
        </w:rPr>
        <w:t>tt</w:t>
      </w:r>
      <w:r w:rsidR="00251808">
        <w:rPr>
          <w:rFonts w:ascii="Times New Roman" w:hAnsi="Times New Roman" w:cs="Times New Roman"/>
          <w:sz w:val="24"/>
          <w:szCs w:val="24"/>
        </w:rPr>
        <w:t>e al PR</w:t>
      </w:r>
      <w:r w:rsidR="001227C4">
        <w:rPr>
          <w:rFonts w:ascii="Times New Roman" w:hAnsi="Times New Roman" w:cs="Times New Roman"/>
          <w:sz w:val="24"/>
          <w:szCs w:val="24"/>
        </w:rPr>
        <w:t>,</w:t>
      </w:r>
      <w:r w:rsidR="009C20BB">
        <w:rPr>
          <w:rFonts w:ascii="Times New Roman" w:hAnsi="Times New Roman" w:cs="Times New Roman"/>
          <w:sz w:val="24"/>
          <w:szCs w:val="24"/>
        </w:rPr>
        <w:t xml:space="preserve"> </w:t>
      </w:r>
      <w:r w:rsidR="00AE6EC7">
        <w:rPr>
          <w:rFonts w:ascii="Times New Roman" w:hAnsi="Times New Roman" w:cs="Times New Roman"/>
          <w:sz w:val="24"/>
          <w:szCs w:val="24"/>
        </w:rPr>
        <w:t>a valere sulla</w:t>
      </w:r>
      <w:r w:rsidR="009C20BB">
        <w:rPr>
          <w:rFonts w:ascii="Times New Roman" w:hAnsi="Times New Roman" w:cs="Times New Roman"/>
          <w:sz w:val="24"/>
          <w:szCs w:val="24"/>
        </w:rPr>
        <w:t xml:space="preserve"> Priorità</w:t>
      </w:r>
      <w:r w:rsidR="00AE6EC7">
        <w:rPr>
          <w:rFonts w:ascii="Times New Roman" w:hAnsi="Times New Roman" w:cs="Times New Roman"/>
          <w:sz w:val="24"/>
          <w:szCs w:val="24"/>
        </w:rPr>
        <w:t xml:space="preserve"> </w:t>
      </w:r>
      <w:r w:rsidR="00AE6EC7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AE6EC7">
        <w:rPr>
          <w:rFonts w:ascii="Times New Roman" w:hAnsi="Times New Roman" w:cs="Times New Roman"/>
          <w:sz w:val="24"/>
          <w:szCs w:val="24"/>
          <w:highlight w:val="yellow"/>
        </w:rPr>
        <w:t>la Priorità del PR</w:t>
      </w:r>
      <w:r w:rsidR="00AE6EC7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C20BB">
        <w:rPr>
          <w:rFonts w:ascii="Times New Roman" w:hAnsi="Times New Roman" w:cs="Times New Roman"/>
          <w:sz w:val="24"/>
          <w:szCs w:val="24"/>
        </w:rPr>
        <w:t xml:space="preserve">, </w:t>
      </w:r>
      <w:r w:rsidR="005C0FD1">
        <w:rPr>
          <w:rFonts w:ascii="Times New Roman" w:hAnsi="Times New Roman" w:cs="Times New Roman"/>
          <w:sz w:val="24"/>
          <w:szCs w:val="24"/>
        </w:rPr>
        <w:t>su</w:t>
      </w:r>
      <w:r w:rsidR="009C20BB">
        <w:rPr>
          <w:rFonts w:ascii="Times New Roman" w:hAnsi="Times New Roman" w:cs="Times New Roman"/>
          <w:sz w:val="24"/>
          <w:szCs w:val="24"/>
        </w:rPr>
        <w:t>ll’obiettivo specifico</w:t>
      </w:r>
      <w:r w:rsidR="00AE6EC7">
        <w:rPr>
          <w:rFonts w:ascii="Times New Roman" w:hAnsi="Times New Roman" w:cs="Times New Roman"/>
          <w:sz w:val="24"/>
          <w:szCs w:val="24"/>
        </w:rPr>
        <w:t xml:space="preserve"> </w:t>
      </w:r>
      <w:r w:rsidR="00AE6EC7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AE6EC7">
        <w:rPr>
          <w:rFonts w:ascii="Times New Roman" w:hAnsi="Times New Roman" w:cs="Times New Roman"/>
          <w:sz w:val="24"/>
          <w:szCs w:val="24"/>
          <w:highlight w:val="yellow"/>
        </w:rPr>
        <w:t>l’obiettivo specifico del PR</w:t>
      </w:r>
      <w:r w:rsidR="00AE6EC7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C20BB">
        <w:rPr>
          <w:rFonts w:ascii="Times New Roman" w:hAnsi="Times New Roman" w:cs="Times New Roman"/>
          <w:sz w:val="24"/>
          <w:szCs w:val="24"/>
        </w:rPr>
        <w:t xml:space="preserve"> e </w:t>
      </w:r>
      <w:r w:rsidR="005C0FD1">
        <w:rPr>
          <w:rFonts w:ascii="Times New Roman" w:hAnsi="Times New Roman" w:cs="Times New Roman"/>
          <w:sz w:val="24"/>
          <w:szCs w:val="24"/>
        </w:rPr>
        <w:t>su</w:t>
      </w:r>
      <w:r w:rsidR="009C20BB">
        <w:rPr>
          <w:rFonts w:ascii="Times New Roman" w:hAnsi="Times New Roman" w:cs="Times New Roman"/>
          <w:sz w:val="24"/>
          <w:szCs w:val="24"/>
        </w:rPr>
        <w:t>ll’Azione</w:t>
      </w:r>
      <w:r w:rsidR="00AE6EC7">
        <w:rPr>
          <w:rFonts w:ascii="Times New Roman" w:hAnsi="Times New Roman" w:cs="Times New Roman"/>
          <w:sz w:val="24"/>
          <w:szCs w:val="24"/>
        </w:rPr>
        <w:t xml:space="preserve"> </w:t>
      </w:r>
      <w:r w:rsidR="00AE6EC7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AE6EC7">
        <w:rPr>
          <w:rFonts w:ascii="Times New Roman" w:hAnsi="Times New Roman" w:cs="Times New Roman"/>
          <w:sz w:val="24"/>
          <w:szCs w:val="24"/>
          <w:highlight w:val="yellow"/>
        </w:rPr>
        <w:t>l’Azione del PR</w:t>
      </w:r>
      <w:r w:rsidR="00AE6EC7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C20BB">
        <w:rPr>
          <w:rFonts w:ascii="Times New Roman" w:hAnsi="Times New Roman" w:cs="Times New Roman"/>
          <w:sz w:val="24"/>
          <w:szCs w:val="24"/>
        </w:rPr>
        <w:t>,</w:t>
      </w:r>
      <w:r w:rsidR="001227C4">
        <w:rPr>
          <w:rFonts w:ascii="Times New Roman" w:hAnsi="Times New Roman" w:cs="Times New Roman"/>
          <w:sz w:val="24"/>
          <w:szCs w:val="24"/>
        </w:rPr>
        <w:t xml:space="preserve"> tenuto conto dello stato di avanzamento procedurale</w:t>
      </w:r>
      <w:r w:rsidR="009C20BB">
        <w:rPr>
          <w:rFonts w:ascii="Times New Roman" w:hAnsi="Times New Roman" w:cs="Times New Roman"/>
          <w:sz w:val="24"/>
          <w:szCs w:val="24"/>
        </w:rPr>
        <w:t>, fisico</w:t>
      </w:r>
      <w:r w:rsidR="00303417">
        <w:rPr>
          <w:rFonts w:ascii="Times New Roman" w:hAnsi="Times New Roman" w:cs="Times New Roman"/>
          <w:sz w:val="24"/>
          <w:szCs w:val="24"/>
        </w:rPr>
        <w:t xml:space="preserve"> e finanziario delle operazioni, dell’assorbimento delle risorse finanziarie del PR e delle relative previsioni finali di spesa</w:t>
      </w:r>
      <w:r w:rsidR="00A87008">
        <w:rPr>
          <w:rFonts w:ascii="Times New Roman" w:hAnsi="Times New Roman" w:cs="Times New Roman"/>
          <w:sz w:val="24"/>
          <w:szCs w:val="24"/>
        </w:rPr>
        <w:t xml:space="preserve"> (Fase 1)</w:t>
      </w:r>
      <w:r w:rsidR="00303417">
        <w:rPr>
          <w:rFonts w:ascii="Times New Roman" w:hAnsi="Times New Roman" w:cs="Times New Roman"/>
          <w:sz w:val="24"/>
          <w:szCs w:val="24"/>
        </w:rPr>
        <w:t>;</w:t>
      </w:r>
    </w:p>
    <w:p w14:paraId="4004DACF" w14:textId="22EDBA79" w:rsidR="0050172E" w:rsidRDefault="00524EAE" w:rsidP="00100E82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524EAE">
        <w:rPr>
          <w:rFonts w:ascii="Times New Roman" w:hAnsi="Times New Roman" w:cs="Times New Roman"/>
          <w:b/>
          <w:bCs/>
          <w:sz w:val="24"/>
          <w:szCs w:val="24"/>
        </w:rPr>
        <w:t>PRESO ATTO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5E3D">
        <w:rPr>
          <w:rFonts w:ascii="Times New Roman" w:hAnsi="Times New Roman" w:cs="Times New Roman"/>
          <w:sz w:val="24"/>
          <w:szCs w:val="24"/>
        </w:rPr>
        <w:t>della coerenza programmatica</w:t>
      </w:r>
      <w:r w:rsidR="002F0CED">
        <w:rPr>
          <w:rFonts w:ascii="Times New Roman" w:hAnsi="Times New Roman" w:cs="Times New Roman"/>
          <w:sz w:val="24"/>
          <w:szCs w:val="24"/>
        </w:rPr>
        <w:t>, ai sensi</w:t>
      </w:r>
      <w:r w:rsidR="00B722F5">
        <w:rPr>
          <w:rFonts w:ascii="Times New Roman" w:hAnsi="Times New Roman" w:cs="Times New Roman"/>
          <w:sz w:val="24"/>
          <w:szCs w:val="24"/>
        </w:rPr>
        <w:t xml:space="preserve"> dell’art. 73 del CPR,</w:t>
      </w:r>
      <w:r w:rsidR="006C5E3D">
        <w:rPr>
          <w:rFonts w:ascii="Times New Roman" w:hAnsi="Times New Roman" w:cs="Times New Roman"/>
          <w:sz w:val="24"/>
          <w:szCs w:val="24"/>
        </w:rPr>
        <w:t xml:space="preserve"> del</w:t>
      </w:r>
      <w:r w:rsidR="00A56234">
        <w:rPr>
          <w:rFonts w:ascii="Times New Roman" w:hAnsi="Times New Roman" w:cs="Times New Roman"/>
          <w:sz w:val="24"/>
          <w:szCs w:val="24"/>
        </w:rPr>
        <w:t>le operazioni</w:t>
      </w:r>
      <w:r w:rsidR="00071971">
        <w:rPr>
          <w:rFonts w:ascii="Times New Roman" w:hAnsi="Times New Roman" w:cs="Times New Roman"/>
          <w:sz w:val="24"/>
          <w:szCs w:val="24"/>
        </w:rPr>
        <w:t xml:space="preserve"> relative a</w:t>
      </w:r>
      <w:r w:rsidR="00A56234">
        <w:rPr>
          <w:rFonts w:ascii="Times New Roman" w:hAnsi="Times New Roman" w:cs="Times New Roman"/>
          <w:sz w:val="24"/>
          <w:szCs w:val="24"/>
        </w:rPr>
        <w:t xml:space="preserve"> </w:t>
      </w:r>
      <w:r w:rsidR="00A56234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A56234">
        <w:rPr>
          <w:rFonts w:ascii="Times New Roman" w:hAnsi="Times New Roman" w:cs="Times New Roman"/>
          <w:sz w:val="24"/>
          <w:szCs w:val="24"/>
          <w:highlight w:val="yellow"/>
        </w:rPr>
        <w:t>informazioni descrittive relative agli interventi da attrarre al PR</w:t>
      </w:r>
      <w:r w:rsidR="00A56234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071971">
        <w:rPr>
          <w:rFonts w:ascii="Times New Roman" w:hAnsi="Times New Roman" w:cs="Times New Roman"/>
          <w:sz w:val="24"/>
          <w:szCs w:val="24"/>
        </w:rPr>
        <w:t>, individuate dal CdR per</w:t>
      </w:r>
      <w:r w:rsidR="00B8015B">
        <w:rPr>
          <w:rFonts w:ascii="Times New Roman" w:hAnsi="Times New Roman" w:cs="Times New Roman"/>
          <w:sz w:val="24"/>
          <w:szCs w:val="24"/>
        </w:rPr>
        <w:t xml:space="preserve"> l’ammissione a </w:t>
      </w:r>
      <w:r w:rsidR="00BA14EC">
        <w:rPr>
          <w:rFonts w:ascii="Times New Roman" w:hAnsi="Times New Roman" w:cs="Times New Roman"/>
          <w:sz w:val="24"/>
          <w:szCs w:val="24"/>
        </w:rPr>
        <w:t>rendicontazione</w:t>
      </w:r>
      <w:r w:rsidR="00901B25">
        <w:rPr>
          <w:rFonts w:ascii="Times New Roman" w:hAnsi="Times New Roman" w:cs="Times New Roman"/>
          <w:sz w:val="24"/>
          <w:szCs w:val="24"/>
        </w:rPr>
        <w:t xml:space="preserve">, per un importo complessivo di € </w:t>
      </w:r>
      <w:r w:rsidR="00901B25" w:rsidRPr="00285CE5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D17957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inserire </w:t>
      </w:r>
      <w:r w:rsidR="00D17957">
        <w:rPr>
          <w:rFonts w:ascii="Times New Roman" w:hAnsi="Times New Roman" w:cs="Times New Roman"/>
          <w:sz w:val="24"/>
          <w:szCs w:val="24"/>
          <w:highlight w:val="yellow"/>
        </w:rPr>
        <w:t>la denominazione delle operazioni da attrarre al PR</w:t>
      </w:r>
      <w:r w:rsidR="00901B25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01B25">
        <w:rPr>
          <w:rFonts w:ascii="Times New Roman" w:hAnsi="Times New Roman" w:cs="Times New Roman"/>
          <w:sz w:val="24"/>
          <w:szCs w:val="24"/>
        </w:rPr>
        <w:t xml:space="preserve">, a valere sulla Priorità </w:t>
      </w:r>
      <w:r w:rsidR="00901B25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901B25">
        <w:rPr>
          <w:rFonts w:ascii="Times New Roman" w:hAnsi="Times New Roman" w:cs="Times New Roman"/>
          <w:sz w:val="24"/>
          <w:szCs w:val="24"/>
          <w:highlight w:val="yellow"/>
        </w:rPr>
        <w:t>la Priorità del PR</w:t>
      </w:r>
      <w:r w:rsidR="00901B25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01B25">
        <w:rPr>
          <w:rFonts w:ascii="Times New Roman" w:hAnsi="Times New Roman" w:cs="Times New Roman"/>
          <w:sz w:val="24"/>
          <w:szCs w:val="24"/>
        </w:rPr>
        <w:t xml:space="preserve">, </w:t>
      </w:r>
      <w:r w:rsidR="005C0FD1">
        <w:rPr>
          <w:rFonts w:ascii="Times New Roman" w:hAnsi="Times New Roman" w:cs="Times New Roman"/>
          <w:sz w:val="24"/>
          <w:szCs w:val="24"/>
        </w:rPr>
        <w:t>su</w:t>
      </w:r>
      <w:r w:rsidR="00901B25">
        <w:rPr>
          <w:rFonts w:ascii="Times New Roman" w:hAnsi="Times New Roman" w:cs="Times New Roman"/>
          <w:sz w:val="24"/>
          <w:szCs w:val="24"/>
        </w:rPr>
        <w:t xml:space="preserve">ll’obiettivo specifico </w:t>
      </w:r>
      <w:r w:rsidR="00901B25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901B25">
        <w:rPr>
          <w:rFonts w:ascii="Times New Roman" w:hAnsi="Times New Roman" w:cs="Times New Roman"/>
          <w:sz w:val="24"/>
          <w:szCs w:val="24"/>
          <w:highlight w:val="yellow"/>
        </w:rPr>
        <w:t>l’obiettivo specifico del PR</w:t>
      </w:r>
      <w:r w:rsidR="00901B25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01B25">
        <w:rPr>
          <w:rFonts w:ascii="Times New Roman" w:hAnsi="Times New Roman" w:cs="Times New Roman"/>
          <w:sz w:val="24"/>
          <w:szCs w:val="24"/>
        </w:rPr>
        <w:t xml:space="preserve"> e </w:t>
      </w:r>
      <w:r w:rsidR="005C0FD1">
        <w:rPr>
          <w:rFonts w:ascii="Times New Roman" w:hAnsi="Times New Roman" w:cs="Times New Roman"/>
          <w:sz w:val="24"/>
          <w:szCs w:val="24"/>
        </w:rPr>
        <w:t>su</w:t>
      </w:r>
      <w:r w:rsidR="00901B25">
        <w:rPr>
          <w:rFonts w:ascii="Times New Roman" w:hAnsi="Times New Roman" w:cs="Times New Roman"/>
          <w:sz w:val="24"/>
          <w:szCs w:val="24"/>
        </w:rPr>
        <w:t xml:space="preserve">ll’Azione </w:t>
      </w:r>
      <w:r w:rsidR="00901B25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901B25">
        <w:rPr>
          <w:rFonts w:ascii="Times New Roman" w:hAnsi="Times New Roman" w:cs="Times New Roman"/>
          <w:sz w:val="24"/>
          <w:szCs w:val="24"/>
          <w:highlight w:val="yellow"/>
        </w:rPr>
        <w:t>l’Azione del PR</w:t>
      </w:r>
      <w:r w:rsidR="00901B25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477211">
        <w:rPr>
          <w:rFonts w:ascii="Times New Roman" w:hAnsi="Times New Roman" w:cs="Times New Roman"/>
          <w:sz w:val="24"/>
          <w:szCs w:val="24"/>
        </w:rPr>
        <w:t xml:space="preserve"> del PR</w:t>
      </w:r>
      <w:r w:rsidR="0050172E">
        <w:rPr>
          <w:rFonts w:ascii="Times New Roman" w:hAnsi="Times New Roman" w:cs="Times New Roman"/>
          <w:sz w:val="24"/>
          <w:szCs w:val="24"/>
        </w:rPr>
        <w:t xml:space="preserve"> (Fase 2);</w:t>
      </w:r>
    </w:p>
    <w:p w14:paraId="449A36F7" w14:textId="19FD588C" w:rsidR="00212CF5" w:rsidRDefault="0058779E" w:rsidP="00100E82">
      <w:pPr>
        <w:spacing w:before="12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VIST</w:t>
      </w:r>
      <w:r w:rsidR="00647C3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B44593" w:rsidRPr="00781B6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47C3B">
        <w:rPr>
          <w:rFonts w:ascii="Times New Roman" w:hAnsi="Times New Roman" w:cs="Times New Roman"/>
          <w:sz w:val="24"/>
          <w:szCs w:val="24"/>
        </w:rPr>
        <w:t>le check list</w:t>
      </w:r>
      <w:r w:rsidR="00F36DD1">
        <w:rPr>
          <w:rFonts w:ascii="Times New Roman" w:hAnsi="Times New Roman" w:cs="Times New Roman"/>
          <w:sz w:val="24"/>
          <w:szCs w:val="24"/>
        </w:rPr>
        <w:t xml:space="preserve"> </w:t>
      </w:r>
      <w:r w:rsidR="00CF6DDD">
        <w:rPr>
          <w:rFonts w:ascii="Times New Roman" w:hAnsi="Times New Roman" w:cs="Times New Roman"/>
          <w:sz w:val="24"/>
          <w:szCs w:val="24"/>
        </w:rPr>
        <w:t>propedeutiche</w:t>
      </w:r>
      <w:r w:rsidR="00A43FC0">
        <w:rPr>
          <w:rFonts w:ascii="Times New Roman" w:hAnsi="Times New Roman" w:cs="Times New Roman"/>
          <w:sz w:val="24"/>
          <w:szCs w:val="24"/>
        </w:rPr>
        <w:t xml:space="preserve"> all’emanazione del provvedimento di coerenza di ammissione a rendicontazione</w:t>
      </w:r>
      <w:r w:rsidR="003E6C78">
        <w:rPr>
          <w:rFonts w:ascii="Times New Roman" w:hAnsi="Times New Roman" w:cs="Times New Roman"/>
          <w:sz w:val="24"/>
          <w:szCs w:val="24"/>
        </w:rPr>
        <w:t xml:space="preserve"> in overbooking </w:t>
      </w:r>
      <w:r w:rsidR="00F36DD1">
        <w:rPr>
          <w:rFonts w:ascii="Times New Roman" w:hAnsi="Times New Roman" w:cs="Times New Roman"/>
          <w:sz w:val="24"/>
          <w:szCs w:val="24"/>
        </w:rPr>
        <w:t>contenent</w:t>
      </w:r>
      <w:r w:rsidR="003E6C78">
        <w:rPr>
          <w:rFonts w:ascii="Times New Roman" w:hAnsi="Times New Roman" w:cs="Times New Roman"/>
          <w:sz w:val="24"/>
          <w:szCs w:val="24"/>
        </w:rPr>
        <w:t>i</w:t>
      </w:r>
      <w:r w:rsidR="00DB31B3">
        <w:rPr>
          <w:rFonts w:ascii="Times New Roman" w:hAnsi="Times New Roman" w:cs="Times New Roman"/>
          <w:sz w:val="24"/>
          <w:szCs w:val="24"/>
        </w:rPr>
        <w:t>, tra le altre informazioni, anche</w:t>
      </w:r>
      <w:r w:rsidR="00F36DD1">
        <w:rPr>
          <w:rFonts w:ascii="Times New Roman" w:hAnsi="Times New Roman" w:cs="Times New Roman"/>
          <w:sz w:val="24"/>
          <w:szCs w:val="24"/>
        </w:rPr>
        <w:t xml:space="preserve"> le motivazioni che hanno condotto a valutare </w:t>
      </w:r>
      <w:r w:rsidR="004E7693">
        <w:rPr>
          <w:rFonts w:ascii="Times New Roman" w:hAnsi="Times New Roman" w:cs="Times New Roman"/>
          <w:sz w:val="24"/>
          <w:szCs w:val="24"/>
        </w:rPr>
        <w:t xml:space="preserve">l’ammissibilità </w:t>
      </w:r>
      <w:r w:rsidR="00103797">
        <w:rPr>
          <w:rFonts w:ascii="Times New Roman" w:hAnsi="Times New Roman" w:cs="Times New Roman"/>
          <w:sz w:val="24"/>
          <w:szCs w:val="24"/>
        </w:rPr>
        <w:t>di ogni singola</w:t>
      </w:r>
      <w:r w:rsidR="004E7693">
        <w:rPr>
          <w:rFonts w:ascii="Times New Roman" w:hAnsi="Times New Roman" w:cs="Times New Roman"/>
          <w:sz w:val="24"/>
          <w:szCs w:val="24"/>
        </w:rPr>
        <w:t xml:space="preserve"> operazion</w:t>
      </w:r>
      <w:r w:rsidR="00103797">
        <w:rPr>
          <w:rFonts w:ascii="Times New Roman" w:hAnsi="Times New Roman" w:cs="Times New Roman"/>
          <w:sz w:val="24"/>
          <w:szCs w:val="24"/>
        </w:rPr>
        <w:t>e</w:t>
      </w:r>
      <w:r w:rsidR="004E7693">
        <w:rPr>
          <w:rFonts w:ascii="Times New Roman" w:hAnsi="Times New Roman" w:cs="Times New Roman"/>
          <w:sz w:val="24"/>
          <w:szCs w:val="24"/>
        </w:rPr>
        <w:t xml:space="preserve"> relativ</w:t>
      </w:r>
      <w:r w:rsidR="00103797">
        <w:rPr>
          <w:rFonts w:ascii="Times New Roman" w:hAnsi="Times New Roman" w:cs="Times New Roman"/>
          <w:sz w:val="24"/>
          <w:szCs w:val="24"/>
        </w:rPr>
        <w:t>a</w:t>
      </w:r>
      <w:r w:rsidR="004E7693">
        <w:rPr>
          <w:rFonts w:ascii="Times New Roman" w:hAnsi="Times New Roman" w:cs="Times New Roman"/>
          <w:sz w:val="24"/>
          <w:szCs w:val="24"/>
        </w:rPr>
        <w:t xml:space="preserve"> a </w:t>
      </w:r>
      <w:r w:rsidR="004E7693" w:rsidRPr="00285CE5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D17957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inserire </w:t>
      </w:r>
      <w:r w:rsidR="00D17957">
        <w:rPr>
          <w:rFonts w:ascii="Times New Roman" w:hAnsi="Times New Roman" w:cs="Times New Roman"/>
          <w:sz w:val="24"/>
          <w:szCs w:val="24"/>
          <w:highlight w:val="yellow"/>
        </w:rPr>
        <w:t>la denominazione delle operazioni da attrarre al PR</w:t>
      </w:r>
      <w:r w:rsidR="004E7693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4E7693">
        <w:rPr>
          <w:rFonts w:ascii="Times New Roman" w:hAnsi="Times New Roman" w:cs="Times New Roman"/>
          <w:sz w:val="24"/>
          <w:szCs w:val="24"/>
        </w:rPr>
        <w:t>, individuat</w:t>
      </w:r>
      <w:r w:rsidR="00096E77">
        <w:rPr>
          <w:rFonts w:ascii="Times New Roman" w:hAnsi="Times New Roman" w:cs="Times New Roman"/>
          <w:sz w:val="24"/>
          <w:szCs w:val="24"/>
        </w:rPr>
        <w:t>a</w:t>
      </w:r>
      <w:r w:rsidR="004E7693">
        <w:rPr>
          <w:rFonts w:ascii="Times New Roman" w:hAnsi="Times New Roman" w:cs="Times New Roman"/>
          <w:sz w:val="24"/>
          <w:szCs w:val="24"/>
        </w:rPr>
        <w:t xml:space="preserve"> dal CdR</w:t>
      </w:r>
      <w:r w:rsidR="00BC7BD7">
        <w:rPr>
          <w:rFonts w:ascii="Times New Roman" w:hAnsi="Times New Roman" w:cs="Times New Roman"/>
          <w:sz w:val="24"/>
          <w:szCs w:val="24"/>
        </w:rPr>
        <w:t>,</w:t>
      </w:r>
      <w:r w:rsidR="004E7693">
        <w:rPr>
          <w:rFonts w:ascii="Times New Roman" w:hAnsi="Times New Roman" w:cs="Times New Roman"/>
          <w:sz w:val="24"/>
          <w:szCs w:val="24"/>
        </w:rPr>
        <w:t xml:space="preserve"> </w:t>
      </w:r>
      <w:r w:rsidR="00CE11AB">
        <w:rPr>
          <w:rFonts w:ascii="Times New Roman" w:hAnsi="Times New Roman" w:cs="Times New Roman"/>
          <w:sz w:val="24"/>
          <w:szCs w:val="24"/>
        </w:rPr>
        <w:t xml:space="preserve">da attrarre al PR </w:t>
      </w:r>
      <w:r w:rsidR="004E7693">
        <w:rPr>
          <w:rFonts w:ascii="Times New Roman" w:hAnsi="Times New Roman" w:cs="Times New Roman"/>
          <w:sz w:val="24"/>
          <w:szCs w:val="24"/>
        </w:rPr>
        <w:t xml:space="preserve">(Fase </w:t>
      </w:r>
      <w:r w:rsidR="000D0165">
        <w:rPr>
          <w:rFonts w:ascii="Times New Roman" w:hAnsi="Times New Roman" w:cs="Times New Roman"/>
          <w:sz w:val="24"/>
          <w:szCs w:val="24"/>
        </w:rPr>
        <w:t>3</w:t>
      </w:r>
      <w:r w:rsidR="004E7693">
        <w:rPr>
          <w:rFonts w:ascii="Times New Roman" w:hAnsi="Times New Roman" w:cs="Times New Roman"/>
          <w:sz w:val="24"/>
          <w:szCs w:val="24"/>
        </w:rPr>
        <w:t>);</w:t>
      </w:r>
    </w:p>
    <w:p w14:paraId="26632F70" w14:textId="450BA533" w:rsidR="00617C7B" w:rsidRPr="004163E5" w:rsidRDefault="00BA0089" w:rsidP="009D080E">
      <w:pPr>
        <w:pStyle w:val="Corpotesto"/>
        <w:spacing w:after="12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FC1335">
        <w:rPr>
          <w:rFonts w:ascii="Times New Roman" w:hAnsi="Times New Roman" w:cs="Times New Roman"/>
          <w:b/>
          <w:bCs/>
          <w:sz w:val="24"/>
          <w:szCs w:val="24"/>
        </w:rPr>
        <w:t>RITENUTO</w:t>
      </w:r>
      <w:r w:rsidRPr="00FC1335">
        <w:rPr>
          <w:rFonts w:ascii="Times New Roman" w:hAnsi="Times New Roman" w:cs="Times New Roman"/>
          <w:sz w:val="24"/>
          <w:szCs w:val="24"/>
        </w:rPr>
        <w:t>, pertanto, che sussist</w:t>
      </w:r>
      <w:r w:rsidR="00BC7BD7">
        <w:rPr>
          <w:rFonts w:ascii="Times New Roman" w:hAnsi="Times New Roman" w:cs="Times New Roman"/>
          <w:sz w:val="24"/>
          <w:szCs w:val="24"/>
        </w:rPr>
        <w:t>a</w:t>
      </w:r>
      <w:r w:rsidRPr="00FC1335">
        <w:rPr>
          <w:rFonts w:ascii="Times New Roman" w:hAnsi="Times New Roman" w:cs="Times New Roman"/>
          <w:sz w:val="24"/>
          <w:szCs w:val="24"/>
        </w:rPr>
        <w:t>no le condizioni affinché</w:t>
      </w:r>
      <w:r w:rsidR="00FC1335">
        <w:rPr>
          <w:rFonts w:ascii="Times New Roman" w:hAnsi="Times New Roman" w:cs="Times New Roman"/>
          <w:sz w:val="24"/>
          <w:szCs w:val="24"/>
        </w:rPr>
        <w:t xml:space="preserve"> le</w:t>
      </w:r>
      <w:r w:rsidRPr="00FC1335">
        <w:rPr>
          <w:rFonts w:ascii="Times New Roman" w:hAnsi="Times New Roman" w:cs="Times New Roman"/>
          <w:sz w:val="24"/>
          <w:szCs w:val="24"/>
        </w:rPr>
        <w:t xml:space="preserve"> </w:t>
      </w:r>
      <w:r w:rsidR="00FC1335" w:rsidRPr="00FC1335">
        <w:rPr>
          <w:rFonts w:ascii="Times New Roman" w:hAnsi="Times New Roman" w:cs="Times New Roman"/>
          <w:sz w:val="24"/>
          <w:szCs w:val="24"/>
        </w:rPr>
        <w:t>operazioni relative a [</w:t>
      </w:r>
      <w:r w:rsidR="00FC1335" w:rsidRPr="00FC1335">
        <w:rPr>
          <w:rFonts w:ascii="Times New Roman" w:hAnsi="Times New Roman" w:cs="Times New Roman"/>
          <w:sz w:val="24"/>
          <w:szCs w:val="24"/>
          <w:highlight w:val="yellow"/>
        </w:rPr>
        <w:t>inserire la denominazione delle operazioni da attrarre al PR</w:t>
      </w:r>
      <w:r w:rsidR="00FC1335" w:rsidRPr="00FC1335">
        <w:rPr>
          <w:rFonts w:ascii="Times New Roman" w:hAnsi="Times New Roman" w:cs="Times New Roman"/>
          <w:sz w:val="24"/>
          <w:szCs w:val="24"/>
        </w:rPr>
        <w:t>] per un importo complessivo di € [</w:t>
      </w:r>
      <w:r w:rsidR="00FC1335" w:rsidRPr="0020445C">
        <w:rPr>
          <w:rFonts w:ascii="Times New Roman" w:hAnsi="Times New Roman" w:cs="Times New Roman"/>
          <w:sz w:val="24"/>
          <w:szCs w:val="24"/>
          <w:highlight w:val="yellow"/>
        </w:rPr>
        <w:t>inserire la quantificazione economica delle operazioni da attrarre al PR</w:t>
      </w:r>
      <w:r w:rsidR="00FC1335" w:rsidRPr="00FC1335">
        <w:rPr>
          <w:rFonts w:ascii="Times New Roman" w:hAnsi="Times New Roman" w:cs="Times New Roman"/>
          <w:sz w:val="24"/>
          <w:szCs w:val="24"/>
        </w:rPr>
        <w:t>] individuate per essere attratte al PR, a valere sulla Priorità [</w:t>
      </w:r>
      <w:r w:rsidR="00FC1335" w:rsidRPr="0020445C">
        <w:rPr>
          <w:rFonts w:ascii="Times New Roman" w:hAnsi="Times New Roman" w:cs="Times New Roman"/>
          <w:sz w:val="24"/>
          <w:szCs w:val="24"/>
          <w:highlight w:val="yellow"/>
        </w:rPr>
        <w:t>inserire la Priorità del PR</w:t>
      </w:r>
      <w:r w:rsidR="00FC1335" w:rsidRPr="00FC1335">
        <w:rPr>
          <w:rFonts w:ascii="Times New Roman" w:hAnsi="Times New Roman" w:cs="Times New Roman"/>
          <w:sz w:val="24"/>
          <w:szCs w:val="24"/>
        </w:rPr>
        <w:t>], sull’obiettivo specifico [</w:t>
      </w:r>
      <w:r w:rsidR="00FC1335" w:rsidRPr="0020445C">
        <w:rPr>
          <w:rFonts w:ascii="Times New Roman" w:hAnsi="Times New Roman" w:cs="Times New Roman"/>
          <w:sz w:val="24"/>
          <w:szCs w:val="24"/>
          <w:highlight w:val="yellow"/>
        </w:rPr>
        <w:t>inserire l’obiettivo specifico del PR</w:t>
      </w:r>
      <w:r w:rsidR="00FC1335" w:rsidRPr="00FC1335">
        <w:rPr>
          <w:rFonts w:ascii="Times New Roman" w:hAnsi="Times New Roman" w:cs="Times New Roman"/>
          <w:sz w:val="24"/>
          <w:szCs w:val="24"/>
        </w:rPr>
        <w:t>] e sull’Azione [</w:t>
      </w:r>
      <w:r w:rsidR="00FC1335" w:rsidRPr="0020445C">
        <w:rPr>
          <w:rFonts w:ascii="Times New Roman" w:hAnsi="Times New Roman" w:cs="Times New Roman"/>
          <w:sz w:val="24"/>
          <w:szCs w:val="24"/>
          <w:highlight w:val="yellow"/>
        </w:rPr>
        <w:t>inserire l’Azione del PR</w:t>
      </w:r>
      <w:r w:rsidR="00FC1335" w:rsidRPr="004163E5">
        <w:rPr>
          <w:rFonts w:ascii="Times New Roman" w:hAnsi="Times New Roman" w:cs="Times New Roman"/>
          <w:sz w:val="24"/>
          <w:szCs w:val="24"/>
        </w:rPr>
        <w:t>]</w:t>
      </w:r>
      <w:r w:rsidR="00285D04">
        <w:rPr>
          <w:rFonts w:ascii="Times New Roman" w:hAnsi="Times New Roman" w:cs="Times New Roman"/>
          <w:sz w:val="24"/>
          <w:szCs w:val="24"/>
        </w:rPr>
        <w:t xml:space="preserve"> </w:t>
      </w:r>
      <w:r w:rsidR="0003312C" w:rsidRPr="004163E5">
        <w:rPr>
          <w:rFonts w:ascii="Times New Roman" w:hAnsi="Times New Roman" w:cs="Times New Roman"/>
          <w:sz w:val="24"/>
          <w:szCs w:val="24"/>
        </w:rPr>
        <w:t>del P</w:t>
      </w:r>
      <w:r w:rsidR="0020445C" w:rsidRPr="004163E5">
        <w:rPr>
          <w:rFonts w:ascii="Times New Roman" w:hAnsi="Times New Roman" w:cs="Times New Roman"/>
          <w:sz w:val="24"/>
          <w:szCs w:val="24"/>
        </w:rPr>
        <w:t>R</w:t>
      </w:r>
      <w:r w:rsidR="0003312C" w:rsidRPr="004163E5">
        <w:rPr>
          <w:rFonts w:ascii="Times New Roman" w:hAnsi="Times New Roman" w:cs="Times New Roman"/>
          <w:sz w:val="24"/>
          <w:szCs w:val="24"/>
        </w:rPr>
        <w:t xml:space="preserve"> F</w:t>
      </w:r>
      <w:r w:rsidR="0020445C" w:rsidRPr="004163E5">
        <w:rPr>
          <w:rFonts w:ascii="Times New Roman" w:hAnsi="Times New Roman" w:cs="Times New Roman"/>
          <w:sz w:val="24"/>
          <w:szCs w:val="24"/>
        </w:rPr>
        <w:t>ESR Sicilia</w:t>
      </w:r>
      <w:r w:rsidR="0003312C" w:rsidRPr="004163E5">
        <w:rPr>
          <w:rFonts w:ascii="Times New Roman" w:hAnsi="Times New Roman" w:cs="Times New Roman"/>
          <w:sz w:val="24"/>
          <w:szCs w:val="24"/>
        </w:rPr>
        <w:t xml:space="preserve"> 20</w:t>
      </w:r>
      <w:r w:rsidR="0020445C" w:rsidRPr="004163E5">
        <w:rPr>
          <w:rFonts w:ascii="Times New Roman" w:hAnsi="Times New Roman" w:cs="Times New Roman"/>
          <w:sz w:val="24"/>
          <w:szCs w:val="24"/>
        </w:rPr>
        <w:t>21</w:t>
      </w:r>
      <w:r w:rsidR="0003312C" w:rsidRPr="004163E5">
        <w:rPr>
          <w:rFonts w:ascii="Times New Roman" w:hAnsi="Times New Roman" w:cs="Times New Roman"/>
          <w:sz w:val="24"/>
          <w:szCs w:val="24"/>
        </w:rPr>
        <w:t>/202</w:t>
      </w:r>
      <w:r w:rsidR="0020445C" w:rsidRPr="004163E5">
        <w:rPr>
          <w:rFonts w:ascii="Times New Roman" w:hAnsi="Times New Roman" w:cs="Times New Roman"/>
          <w:sz w:val="24"/>
          <w:szCs w:val="24"/>
        </w:rPr>
        <w:t>7</w:t>
      </w:r>
      <w:r w:rsidR="004163E5">
        <w:rPr>
          <w:rFonts w:ascii="Times New Roman" w:hAnsi="Times New Roman" w:cs="Times New Roman"/>
          <w:sz w:val="24"/>
          <w:szCs w:val="24"/>
        </w:rPr>
        <w:t>,</w:t>
      </w:r>
      <w:r w:rsidR="00DC5E62">
        <w:rPr>
          <w:rFonts w:ascii="Times New Roman" w:hAnsi="Times New Roman" w:cs="Times New Roman"/>
          <w:sz w:val="24"/>
          <w:szCs w:val="24"/>
        </w:rPr>
        <w:t xml:space="preserve"> siano ammesse a rendicontazione in overbooking</w:t>
      </w:r>
      <w:r w:rsidR="00BF4883">
        <w:rPr>
          <w:rFonts w:ascii="Times New Roman" w:hAnsi="Times New Roman" w:cs="Times New Roman"/>
          <w:sz w:val="24"/>
          <w:szCs w:val="24"/>
        </w:rPr>
        <w:t>.</w:t>
      </w:r>
    </w:p>
    <w:p w14:paraId="0888CC3E" w14:textId="77777777" w:rsidR="00D0740D" w:rsidRPr="00285CE5" w:rsidRDefault="00D0740D" w:rsidP="00E64753">
      <w:pPr>
        <w:pStyle w:val="Corpotesto"/>
        <w:spacing w:after="120"/>
        <w:ind w:left="1418" w:hanging="1418"/>
        <w:jc w:val="left"/>
        <w:rPr>
          <w:rFonts w:ascii="Times New Roman" w:hAnsi="Times New Roman" w:cs="Times New Roman"/>
          <w:sz w:val="24"/>
          <w:szCs w:val="24"/>
          <w:highlight w:val="magenta"/>
        </w:rPr>
      </w:pPr>
    </w:p>
    <w:p w14:paraId="6995EF08" w14:textId="6E873273" w:rsidR="00617C7B" w:rsidRDefault="00554129" w:rsidP="00C949C5">
      <w:pPr>
        <w:pStyle w:val="Corpotesto"/>
        <w:spacing w:after="12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F4883">
        <w:rPr>
          <w:rFonts w:ascii="Times New Roman" w:hAnsi="Times New Roman" w:cs="Times New Roman"/>
          <w:sz w:val="24"/>
          <w:szCs w:val="24"/>
        </w:rPr>
        <w:lastRenderedPageBreak/>
        <w:t>DECRETA</w:t>
      </w:r>
    </w:p>
    <w:p w14:paraId="580B9F69" w14:textId="77777777" w:rsidR="00C949C5" w:rsidRPr="00BF4883" w:rsidRDefault="00C949C5" w:rsidP="00C949C5">
      <w:pPr>
        <w:pStyle w:val="Corpotesto"/>
        <w:spacing w:after="12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5B52E57" w14:textId="32F15DA7" w:rsidR="008A09A6" w:rsidRDefault="00C949C5" w:rsidP="00C949C5">
      <w:pPr>
        <w:pStyle w:val="Corpotesto"/>
        <w:spacing w:after="120"/>
        <w:ind w:left="851" w:hanging="851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b/>
          <w:sz w:val="24"/>
          <w:szCs w:val="24"/>
        </w:rPr>
        <w:t xml:space="preserve">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85CE5">
        <w:rPr>
          <w:rFonts w:ascii="Times New Roman" w:hAnsi="Times New Roman" w:cs="Times New Roman"/>
          <w:b/>
          <w:sz w:val="24"/>
          <w:szCs w:val="24"/>
        </w:rPr>
        <w:t>)</w:t>
      </w:r>
      <w:r w:rsidRPr="00285CE5">
        <w:rPr>
          <w:rFonts w:ascii="Times New Roman" w:hAnsi="Times New Roman" w:cs="Times New Roman"/>
          <w:b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 xml:space="preserve">Il </w:t>
      </w:r>
      <w:r w:rsidR="008A09A6" w:rsidRPr="00054DC7">
        <w:rPr>
          <w:rFonts w:ascii="Times New Roman" w:hAnsi="Times New Roman" w:cs="Times New Roman"/>
          <w:sz w:val="24"/>
          <w:szCs w:val="24"/>
        </w:rPr>
        <w:t>Per le motivazioni di cui in premessa, che qui si intendono integralmente riportate e trascritte, si prende atto della coerenza</w:t>
      </w:r>
      <w:r w:rsidR="00054DC7">
        <w:rPr>
          <w:rFonts w:ascii="Times New Roman" w:hAnsi="Times New Roman" w:cs="Times New Roman"/>
          <w:sz w:val="24"/>
          <w:szCs w:val="24"/>
        </w:rPr>
        <w:t xml:space="preserve"> programmatica</w:t>
      </w:r>
      <w:r w:rsidR="00285D04">
        <w:rPr>
          <w:rFonts w:ascii="Times New Roman" w:hAnsi="Times New Roman" w:cs="Times New Roman"/>
          <w:sz w:val="24"/>
          <w:szCs w:val="24"/>
        </w:rPr>
        <w:t xml:space="preserve"> delle</w:t>
      </w:r>
      <w:r w:rsidR="008A09A6" w:rsidRPr="00054DC7">
        <w:rPr>
          <w:rFonts w:ascii="Times New Roman" w:hAnsi="Times New Roman" w:cs="Times New Roman"/>
          <w:sz w:val="24"/>
          <w:szCs w:val="24"/>
        </w:rPr>
        <w:t xml:space="preserve"> </w:t>
      </w:r>
      <w:r w:rsidR="00285D04">
        <w:rPr>
          <w:rFonts w:ascii="Times New Roman" w:hAnsi="Times New Roman" w:cs="Times New Roman"/>
          <w:sz w:val="24"/>
          <w:szCs w:val="24"/>
        </w:rPr>
        <w:t xml:space="preserve">operazioni relative a 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285D04">
        <w:rPr>
          <w:rFonts w:ascii="Times New Roman" w:hAnsi="Times New Roman" w:cs="Times New Roman"/>
          <w:sz w:val="24"/>
          <w:szCs w:val="24"/>
          <w:highlight w:val="yellow"/>
        </w:rPr>
        <w:t>la denominazione delle operazioni da attrarre al PR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285D04">
        <w:rPr>
          <w:rFonts w:ascii="Times New Roman" w:hAnsi="Times New Roman" w:cs="Times New Roman"/>
          <w:sz w:val="24"/>
          <w:szCs w:val="24"/>
        </w:rPr>
        <w:t xml:space="preserve"> per un importo complessivo di € 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285D04">
        <w:rPr>
          <w:rFonts w:ascii="Times New Roman" w:hAnsi="Times New Roman" w:cs="Times New Roman"/>
          <w:sz w:val="24"/>
          <w:szCs w:val="24"/>
          <w:highlight w:val="yellow"/>
        </w:rPr>
        <w:t>la quantificazione economica delle operazioni da attrarre al PR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285D04">
        <w:rPr>
          <w:rFonts w:ascii="Times New Roman" w:hAnsi="Times New Roman" w:cs="Times New Roman"/>
          <w:sz w:val="24"/>
          <w:szCs w:val="24"/>
        </w:rPr>
        <w:t xml:space="preserve">, a valere sulla Priorità 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285D04">
        <w:rPr>
          <w:rFonts w:ascii="Times New Roman" w:hAnsi="Times New Roman" w:cs="Times New Roman"/>
          <w:sz w:val="24"/>
          <w:szCs w:val="24"/>
          <w:highlight w:val="yellow"/>
        </w:rPr>
        <w:t>la Priorità del PR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285D04">
        <w:rPr>
          <w:rFonts w:ascii="Times New Roman" w:hAnsi="Times New Roman" w:cs="Times New Roman"/>
          <w:sz w:val="24"/>
          <w:szCs w:val="24"/>
        </w:rPr>
        <w:t xml:space="preserve">, sull’obiettivo specifico 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285D04">
        <w:rPr>
          <w:rFonts w:ascii="Times New Roman" w:hAnsi="Times New Roman" w:cs="Times New Roman"/>
          <w:sz w:val="24"/>
          <w:szCs w:val="24"/>
          <w:highlight w:val="yellow"/>
        </w:rPr>
        <w:t>l’obiettivo specifico del PR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285D04">
        <w:rPr>
          <w:rFonts w:ascii="Times New Roman" w:hAnsi="Times New Roman" w:cs="Times New Roman"/>
          <w:sz w:val="24"/>
          <w:szCs w:val="24"/>
        </w:rPr>
        <w:t xml:space="preserve"> e sull’Azione 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285D04">
        <w:rPr>
          <w:rFonts w:ascii="Times New Roman" w:hAnsi="Times New Roman" w:cs="Times New Roman"/>
          <w:sz w:val="24"/>
          <w:szCs w:val="24"/>
          <w:highlight w:val="yellow"/>
        </w:rPr>
        <w:t>l’Azione del PR</w:t>
      </w:r>
      <w:r w:rsidR="00285D04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285D04">
        <w:rPr>
          <w:rFonts w:ascii="Times New Roman" w:hAnsi="Times New Roman" w:cs="Times New Roman"/>
          <w:sz w:val="24"/>
          <w:szCs w:val="24"/>
        </w:rPr>
        <w:t xml:space="preserve">, </w:t>
      </w:r>
      <w:r w:rsidR="00285D04" w:rsidRPr="004163E5">
        <w:rPr>
          <w:rFonts w:ascii="Times New Roman" w:hAnsi="Times New Roman" w:cs="Times New Roman"/>
          <w:sz w:val="24"/>
          <w:szCs w:val="24"/>
        </w:rPr>
        <w:t>del PR FESR Sicilia 2021/2027</w:t>
      </w:r>
      <w:r w:rsidR="001A0B4A">
        <w:rPr>
          <w:rFonts w:ascii="Times New Roman" w:hAnsi="Times New Roman" w:cs="Times New Roman"/>
          <w:sz w:val="24"/>
          <w:szCs w:val="24"/>
        </w:rPr>
        <w:t xml:space="preserve">, </w:t>
      </w:r>
      <w:r w:rsidR="00582D4C">
        <w:rPr>
          <w:rFonts w:ascii="Times New Roman" w:hAnsi="Times New Roman" w:cs="Times New Roman"/>
          <w:sz w:val="24"/>
          <w:szCs w:val="24"/>
        </w:rPr>
        <w:t>elencate ne</w:t>
      </w:r>
      <w:r w:rsidR="001A0B4A">
        <w:rPr>
          <w:rFonts w:ascii="Times New Roman" w:hAnsi="Times New Roman" w:cs="Times New Roman"/>
          <w:sz w:val="24"/>
          <w:szCs w:val="24"/>
        </w:rPr>
        <w:t>l</w:t>
      </w:r>
      <w:r w:rsidR="00682536">
        <w:rPr>
          <w:rFonts w:ascii="Times New Roman" w:hAnsi="Times New Roman" w:cs="Times New Roman"/>
          <w:sz w:val="24"/>
          <w:szCs w:val="24"/>
        </w:rPr>
        <w:t xml:space="preserve"> documento allegato (A</w:t>
      </w:r>
      <w:r w:rsidR="001A0B4A">
        <w:rPr>
          <w:rFonts w:ascii="Times New Roman" w:hAnsi="Times New Roman" w:cs="Times New Roman"/>
          <w:sz w:val="24"/>
          <w:szCs w:val="24"/>
        </w:rPr>
        <w:t>ll</w:t>
      </w:r>
      <w:r w:rsidR="00682536">
        <w:rPr>
          <w:rFonts w:ascii="Times New Roman" w:hAnsi="Times New Roman" w:cs="Times New Roman"/>
          <w:sz w:val="24"/>
          <w:szCs w:val="24"/>
        </w:rPr>
        <w:t>.</w:t>
      </w:r>
      <w:r w:rsidR="001A0B4A">
        <w:rPr>
          <w:rFonts w:ascii="Times New Roman" w:hAnsi="Times New Roman" w:cs="Times New Roman"/>
          <w:sz w:val="24"/>
          <w:szCs w:val="24"/>
        </w:rPr>
        <w:t xml:space="preserve"> 1</w:t>
      </w:r>
      <w:r w:rsidR="00682536">
        <w:rPr>
          <w:rFonts w:ascii="Times New Roman" w:hAnsi="Times New Roman" w:cs="Times New Roman"/>
          <w:sz w:val="24"/>
          <w:szCs w:val="24"/>
        </w:rPr>
        <w:t>)</w:t>
      </w:r>
      <w:r w:rsidR="00582D4C">
        <w:rPr>
          <w:rFonts w:ascii="Times New Roman" w:hAnsi="Times New Roman" w:cs="Times New Roman"/>
          <w:sz w:val="24"/>
          <w:szCs w:val="24"/>
        </w:rPr>
        <w:t>, parte integrante del presente decreto.</w:t>
      </w:r>
    </w:p>
    <w:p w14:paraId="73609262" w14:textId="77777777" w:rsidR="004A57D7" w:rsidRDefault="004A57D7" w:rsidP="00C949C5">
      <w:pPr>
        <w:pStyle w:val="Corpotesto"/>
        <w:spacing w:after="120"/>
        <w:ind w:left="851" w:hanging="851"/>
        <w:rPr>
          <w:rFonts w:ascii="Times New Roman" w:hAnsi="Times New Roman" w:cs="Times New Roman"/>
          <w:sz w:val="24"/>
          <w:szCs w:val="24"/>
        </w:rPr>
      </w:pPr>
    </w:p>
    <w:p w14:paraId="12CA5A4A" w14:textId="601E8838" w:rsidR="009B0235" w:rsidRDefault="009B0235" w:rsidP="00C949C5">
      <w:pPr>
        <w:pStyle w:val="Corpotesto"/>
        <w:spacing w:after="120"/>
        <w:ind w:left="851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Art. 2) </w:t>
      </w:r>
      <w:r w:rsidR="00E33A2A">
        <w:rPr>
          <w:rFonts w:ascii="Times New Roman" w:hAnsi="Times New Roman" w:cs="Times New Roman"/>
          <w:bCs/>
          <w:sz w:val="24"/>
          <w:szCs w:val="24"/>
        </w:rPr>
        <w:t>Sono ammessi a rendicontazione</w:t>
      </w:r>
      <w:r w:rsidR="00DD311F">
        <w:rPr>
          <w:rFonts w:ascii="Times New Roman" w:hAnsi="Times New Roman" w:cs="Times New Roman"/>
          <w:bCs/>
          <w:sz w:val="24"/>
          <w:szCs w:val="24"/>
        </w:rPr>
        <w:t xml:space="preserve"> le </w:t>
      </w:r>
      <w:r w:rsidR="00DD311F">
        <w:rPr>
          <w:rFonts w:ascii="Times New Roman" w:hAnsi="Times New Roman" w:cs="Times New Roman"/>
          <w:sz w:val="24"/>
          <w:szCs w:val="24"/>
        </w:rPr>
        <w:t>operazioni</w:t>
      </w:r>
      <w:r w:rsidR="00C37224">
        <w:rPr>
          <w:rFonts w:ascii="Times New Roman" w:hAnsi="Times New Roman" w:cs="Times New Roman"/>
          <w:sz w:val="24"/>
          <w:szCs w:val="24"/>
        </w:rPr>
        <w:t xml:space="preserve"> di cui al documento allegato (All. 1)</w:t>
      </w:r>
      <w:r w:rsidR="00DD311F">
        <w:rPr>
          <w:rFonts w:ascii="Times New Roman" w:hAnsi="Times New Roman" w:cs="Times New Roman"/>
          <w:sz w:val="24"/>
          <w:szCs w:val="24"/>
        </w:rPr>
        <w:t xml:space="preserve"> relative a 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DD311F">
        <w:rPr>
          <w:rFonts w:ascii="Times New Roman" w:hAnsi="Times New Roman" w:cs="Times New Roman"/>
          <w:sz w:val="24"/>
          <w:szCs w:val="24"/>
          <w:highlight w:val="yellow"/>
        </w:rPr>
        <w:t>la denominazione delle operazioni da attrarre al PR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DD311F">
        <w:rPr>
          <w:rFonts w:ascii="Times New Roman" w:hAnsi="Times New Roman" w:cs="Times New Roman"/>
          <w:sz w:val="24"/>
          <w:szCs w:val="24"/>
        </w:rPr>
        <w:t xml:space="preserve"> per un importo complessivo di € 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DD311F">
        <w:rPr>
          <w:rFonts w:ascii="Times New Roman" w:hAnsi="Times New Roman" w:cs="Times New Roman"/>
          <w:sz w:val="24"/>
          <w:szCs w:val="24"/>
          <w:highlight w:val="yellow"/>
        </w:rPr>
        <w:t>la quantificazione economica delle operazioni da attrarre al PR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D7754C">
        <w:rPr>
          <w:rFonts w:ascii="Times New Roman" w:hAnsi="Times New Roman" w:cs="Times New Roman"/>
          <w:sz w:val="24"/>
          <w:szCs w:val="24"/>
        </w:rPr>
        <w:t>,</w:t>
      </w:r>
      <w:r w:rsidR="00DD311F">
        <w:rPr>
          <w:rFonts w:ascii="Times New Roman" w:hAnsi="Times New Roman" w:cs="Times New Roman"/>
          <w:sz w:val="24"/>
          <w:szCs w:val="24"/>
        </w:rPr>
        <w:t xml:space="preserve"> a valere sulla Priorità 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DD311F">
        <w:rPr>
          <w:rFonts w:ascii="Times New Roman" w:hAnsi="Times New Roman" w:cs="Times New Roman"/>
          <w:sz w:val="24"/>
          <w:szCs w:val="24"/>
          <w:highlight w:val="yellow"/>
        </w:rPr>
        <w:t>la Priorità del PR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DD311F">
        <w:rPr>
          <w:rFonts w:ascii="Times New Roman" w:hAnsi="Times New Roman" w:cs="Times New Roman"/>
          <w:sz w:val="24"/>
          <w:szCs w:val="24"/>
        </w:rPr>
        <w:t xml:space="preserve">, sull’obiettivo specifico 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DD311F">
        <w:rPr>
          <w:rFonts w:ascii="Times New Roman" w:hAnsi="Times New Roman" w:cs="Times New Roman"/>
          <w:sz w:val="24"/>
          <w:szCs w:val="24"/>
          <w:highlight w:val="yellow"/>
        </w:rPr>
        <w:t>l’obiettivo specifico del PR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DD311F">
        <w:rPr>
          <w:rFonts w:ascii="Times New Roman" w:hAnsi="Times New Roman" w:cs="Times New Roman"/>
          <w:sz w:val="24"/>
          <w:szCs w:val="24"/>
        </w:rPr>
        <w:t xml:space="preserve"> e sull’Azione 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 xml:space="preserve">[inserire </w:t>
      </w:r>
      <w:r w:rsidR="00DD311F">
        <w:rPr>
          <w:rFonts w:ascii="Times New Roman" w:hAnsi="Times New Roman" w:cs="Times New Roman"/>
          <w:sz w:val="24"/>
          <w:szCs w:val="24"/>
          <w:highlight w:val="yellow"/>
        </w:rPr>
        <w:t>l’Azione del PR</w:t>
      </w:r>
      <w:r w:rsidR="00DD311F" w:rsidRPr="00285CE5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DD311F">
        <w:rPr>
          <w:rFonts w:ascii="Times New Roman" w:hAnsi="Times New Roman" w:cs="Times New Roman"/>
          <w:sz w:val="24"/>
          <w:szCs w:val="24"/>
        </w:rPr>
        <w:t>,</w:t>
      </w:r>
      <w:r w:rsidR="008F1A57" w:rsidRPr="008F1A57">
        <w:rPr>
          <w:rFonts w:ascii="Times New Roman" w:hAnsi="Times New Roman" w:cs="Times New Roman"/>
          <w:sz w:val="24"/>
          <w:szCs w:val="24"/>
        </w:rPr>
        <w:t xml:space="preserve"> </w:t>
      </w:r>
      <w:r w:rsidR="008F1A57" w:rsidRPr="004163E5">
        <w:rPr>
          <w:rFonts w:ascii="Times New Roman" w:hAnsi="Times New Roman" w:cs="Times New Roman"/>
          <w:sz w:val="24"/>
          <w:szCs w:val="24"/>
        </w:rPr>
        <w:t>del PR FESR Sicilia 2021/2027</w:t>
      </w:r>
      <w:r w:rsidR="004A57D7">
        <w:rPr>
          <w:rFonts w:ascii="Times New Roman" w:hAnsi="Times New Roman" w:cs="Times New Roman"/>
          <w:sz w:val="24"/>
          <w:szCs w:val="24"/>
        </w:rPr>
        <w:t>.</w:t>
      </w:r>
    </w:p>
    <w:p w14:paraId="23C374F8" w14:textId="77777777" w:rsidR="00F312E6" w:rsidRDefault="00F312E6" w:rsidP="00C949C5">
      <w:pPr>
        <w:pStyle w:val="Corpotesto"/>
        <w:spacing w:after="120"/>
        <w:ind w:left="851" w:hanging="851"/>
        <w:rPr>
          <w:rFonts w:ascii="Times New Roman" w:hAnsi="Times New Roman" w:cs="Times New Roman"/>
          <w:bCs/>
          <w:sz w:val="24"/>
          <w:szCs w:val="24"/>
        </w:rPr>
      </w:pPr>
    </w:p>
    <w:p w14:paraId="53A047C0" w14:textId="6F94EE64" w:rsidR="00F312E6" w:rsidRDefault="00F312E6" w:rsidP="00C949C5">
      <w:pPr>
        <w:pStyle w:val="Corpotesto"/>
        <w:spacing w:after="120"/>
        <w:ind w:left="851" w:hanging="851"/>
        <w:rPr>
          <w:rFonts w:ascii="Times New Roman" w:hAnsi="Times New Roman" w:cs="Times New Roman"/>
          <w:bCs/>
          <w:sz w:val="24"/>
          <w:szCs w:val="24"/>
        </w:rPr>
      </w:pPr>
      <w:r w:rsidRPr="00F312E6">
        <w:rPr>
          <w:rFonts w:ascii="Times New Roman" w:hAnsi="Times New Roman" w:cs="Times New Roman"/>
          <w:b/>
          <w:sz w:val="24"/>
          <w:szCs w:val="24"/>
        </w:rPr>
        <w:t xml:space="preserve">Art. 3) </w:t>
      </w:r>
      <w:r>
        <w:rPr>
          <w:rFonts w:ascii="Times New Roman" w:hAnsi="Times New Roman" w:cs="Times New Roman"/>
          <w:bCs/>
          <w:sz w:val="24"/>
          <w:szCs w:val="24"/>
        </w:rPr>
        <w:t>Il presente decreto</w:t>
      </w:r>
      <w:r w:rsidR="004270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3508">
        <w:rPr>
          <w:rFonts w:ascii="Times New Roman" w:hAnsi="Times New Roman" w:cs="Times New Roman"/>
          <w:bCs/>
          <w:sz w:val="24"/>
          <w:szCs w:val="24"/>
        </w:rPr>
        <w:t>non comporta alcuna assunzione di impegno giuridicamente vincol</w:t>
      </w:r>
      <w:r w:rsidR="00BA646E">
        <w:rPr>
          <w:rFonts w:ascii="Times New Roman" w:hAnsi="Times New Roman" w:cs="Times New Roman"/>
          <w:bCs/>
          <w:sz w:val="24"/>
          <w:szCs w:val="24"/>
        </w:rPr>
        <w:t xml:space="preserve">ante a valere sui capitoli di spesa del bilancio della regione. </w:t>
      </w:r>
      <w:r w:rsidR="00271805">
        <w:rPr>
          <w:rFonts w:ascii="Times New Roman" w:hAnsi="Times New Roman" w:cs="Times New Roman"/>
          <w:bCs/>
          <w:sz w:val="24"/>
          <w:szCs w:val="24"/>
        </w:rPr>
        <w:t>Le spese che</w:t>
      </w:r>
      <w:r w:rsidR="008A74CC">
        <w:rPr>
          <w:rFonts w:ascii="Times New Roman" w:hAnsi="Times New Roman" w:cs="Times New Roman"/>
          <w:bCs/>
          <w:sz w:val="24"/>
          <w:szCs w:val="24"/>
        </w:rPr>
        <w:t xml:space="preserve"> graveranno a valere sul PR FESR Sicilia 2021-2027 sono soltanto quelle che saranno certificate alla Commissione Europe</w:t>
      </w:r>
      <w:r w:rsidR="00A574D6">
        <w:rPr>
          <w:rFonts w:ascii="Times New Roman" w:hAnsi="Times New Roman" w:cs="Times New Roman"/>
          <w:bCs/>
          <w:sz w:val="24"/>
          <w:szCs w:val="24"/>
        </w:rPr>
        <w:t>a e rimborsate</w:t>
      </w:r>
      <w:r w:rsidR="00A9516A">
        <w:rPr>
          <w:rFonts w:ascii="Times New Roman" w:hAnsi="Times New Roman" w:cs="Times New Roman"/>
          <w:bCs/>
          <w:sz w:val="24"/>
          <w:szCs w:val="24"/>
        </w:rPr>
        <w:t xml:space="preserve"> con l’accredito del cofinanziamento UE e Stato. Tutte le spese relative alle operazioni di cui al documento allegato (All. 1)</w:t>
      </w:r>
      <w:r w:rsidR="004F1AFE">
        <w:rPr>
          <w:rFonts w:ascii="Times New Roman" w:hAnsi="Times New Roman" w:cs="Times New Roman"/>
          <w:bCs/>
          <w:sz w:val="24"/>
          <w:szCs w:val="24"/>
        </w:rPr>
        <w:t xml:space="preserve"> non riconosciute dalla Commissione Europea sono finanziate a valere sulle risorse della fonte di finanziamento originaria.</w:t>
      </w:r>
    </w:p>
    <w:p w14:paraId="3426EBF5" w14:textId="77777777" w:rsidR="009E769C" w:rsidRDefault="009E769C" w:rsidP="00C949C5">
      <w:pPr>
        <w:pStyle w:val="Corpotesto"/>
        <w:spacing w:after="120"/>
        <w:ind w:left="851" w:hanging="851"/>
        <w:rPr>
          <w:rFonts w:ascii="Times New Roman" w:hAnsi="Times New Roman" w:cs="Times New Roman"/>
          <w:bCs/>
          <w:sz w:val="24"/>
          <w:szCs w:val="24"/>
        </w:rPr>
      </w:pPr>
    </w:p>
    <w:p w14:paraId="594032CA" w14:textId="34C873E2" w:rsidR="009E769C" w:rsidRPr="009E769C" w:rsidRDefault="009E769C" w:rsidP="00C949C5">
      <w:pPr>
        <w:pStyle w:val="Corpotesto"/>
        <w:spacing w:after="120"/>
        <w:ind w:left="851" w:hanging="851"/>
        <w:rPr>
          <w:rFonts w:ascii="Times New Roman" w:hAnsi="Times New Roman" w:cs="Times New Roman"/>
          <w:bCs/>
          <w:sz w:val="24"/>
          <w:szCs w:val="24"/>
        </w:rPr>
      </w:pPr>
      <w:r w:rsidRPr="009E769C">
        <w:rPr>
          <w:rFonts w:ascii="Times New Roman" w:hAnsi="Times New Roman" w:cs="Times New Roman"/>
          <w:b/>
          <w:sz w:val="24"/>
          <w:szCs w:val="24"/>
        </w:rPr>
        <w:t xml:space="preserve">Art. 4) </w:t>
      </w:r>
      <w:r w:rsidR="00B167C8">
        <w:rPr>
          <w:rFonts w:ascii="Times New Roman" w:hAnsi="Times New Roman" w:cs="Times New Roman"/>
          <w:bCs/>
          <w:sz w:val="24"/>
          <w:szCs w:val="24"/>
        </w:rPr>
        <w:t>Le spese a valere sulle operazioni di cui al documento allegato (All. 1)</w:t>
      </w:r>
      <w:r w:rsidR="005017C2">
        <w:rPr>
          <w:rFonts w:ascii="Times New Roman" w:hAnsi="Times New Roman" w:cs="Times New Roman"/>
          <w:bCs/>
          <w:sz w:val="24"/>
          <w:szCs w:val="24"/>
        </w:rPr>
        <w:t>,</w:t>
      </w:r>
      <w:r w:rsidR="00B167C8">
        <w:rPr>
          <w:rFonts w:ascii="Times New Roman" w:hAnsi="Times New Roman" w:cs="Times New Roman"/>
          <w:bCs/>
          <w:sz w:val="24"/>
          <w:szCs w:val="24"/>
        </w:rPr>
        <w:t xml:space="preserve"> certificate alla UE e rimborsate con l’accredito dell’intero cofinanziamento UE e Stato</w:t>
      </w:r>
      <w:r w:rsidR="00A12693">
        <w:rPr>
          <w:rFonts w:ascii="Times New Roman" w:hAnsi="Times New Roman" w:cs="Times New Roman"/>
          <w:bCs/>
          <w:sz w:val="24"/>
          <w:szCs w:val="24"/>
        </w:rPr>
        <w:t xml:space="preserve">, alla chiusura dei conti di ogni anno contabile dovranno essere regolarizzate con l’imputazione a valere sui capitoli di bilancio del PR FESR Sicilia 2021/2027 e con l’emissione degli eventuali mandati verdi per </w:t>
      </w:r>
      <w:r w:rsidR="000233AF">
        <w:rPr>
          <w:rFonts w:ascii="Times New Roman" w:hAnsi="Times New Roman" w:cs="Times New Roman"/>
          <w:bCs/>
          <w:sz w:val="24"/>
          <w:szCs w:val="24"/>
        </w:rPr>
        <w:t>il ristoro delle spese sostenute</w:t>
      </w:r>
      <w:r w:rsidR="00011A3F">
        <w:rPr>
          <w:rFonts w:ascii="Times New Roman" w:hAnsi="Times New Roman" w:cs="Times New Roman"/>
          <w:bCs/>
          <w:sz w:val="24"/>
          <w:szCs w:val="24"/>
        </w:rPr>
        <w:t xml:space="preserve"> e il disimpegno delle risorse impegnate e non pagate</w:t>
      </w:r>
      <w:r w:rsidR="000233AF">
        <w:rPr>
          <w:rFonts w:ascii="Times New Roman" w:hAnsi="Times New Roman" w:cs="Times New Roman"/>
          <w:bCs/>
          <w:sz w:val="24"/>
          <w:szCs w:val="24"/>
        </w:rPr>
        <w:t xml:space="preserve"> sulla fonte finanziaria originaria</w:t>
      </w:r>
      <w:r w:rsidR="000A738E">
        <w:rPr>
          <w:rFonts w:ascii="Times New Roman" w:hAnsi="Times New Roman" w:cs="Times New Roman"/>
          <w:bCs/>
          <w:sz w:val="24"/>
          <w:szCs w:val="24"/>
        </w:rPr>
        <w:t>.</w:t>
      </w:r>
    </w:p>
    <w:p w14:paraId="7982E55C" w14:textId="2DD11175" w:rsidR="00617C7B" w:rsidRPr="00285CE5" w:rsidRDefault="00617C7B" w:rsidP="00E64753">
      <w:pPr>
        <w:pStyle w:val="Corpotesto"/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14:paraId="26F4C256" w14:textId="0E0747EB" w:rsidR="001677D4" w:rsidRPr="00285CE5" w:rsidRDefault="001677D4" w:rsidP="001677D4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8629055"/>
      <w:r w:rsidRPr="00285CE5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800CC0">
        <w:rPr>
          <w:rFonts w:ascii="Times New Roman" w:hAnsi="Times New Roman" w:cs="Times New Roman"/>
          <w:b/>
          <w:sz w:val="24"/>
          <w:szCs w:val="24"/>
        </w:rPr>
        <w:t>5</w:t>
      </w:r>
      <w:r w:rsidRPr="00285CE5">
        <w:rPr>
          <w:rFonts w:ascii="Times New Roman" w:hAnsi="Times New Roman" w:cs="Times New Roman"/>
          <w:b/>
          <w:sz w:val="24"/>
          <w:szCs w:val="24"/>
        </w:rPr>
        <w:t>)</w:t>
      </w:r>
      <w:r w:rsidRPr="00285CE5">
        <w:rPr>
          <w:rFonts w:ascii="Times New Roman" w:hAnsi="Times New Roman" w:cs="Times New Roman"/>
          <w:b/>
          <w:sz w:val="24"/>
          <w:szCs w:val="24"/>
        </w:rPr>
        <w:tab/>
      </w:r>
      <w:r w:rsidRPr="00285CE5">
        <w:rPr>
          <w:rFonts w:ascii="Times New Roman" w:hAnsi="Times New Roman" w:cs="Times New Roman"/>
          <w:sz w:val="24"/>
          <w:szCs w:val="24"/>
        </w:rPr>
        <w:t xml:space="preserve">Il presente decreto sarà </w:t>
      </w:r>
      <w:r w:rsidR="00C3455D">
        <w:rPr>
          <w:rFonts w:ascii="Times New Roman" w:hAnsi="Times New Roman" w:cs="Times New Roman"/>
          <w:sz w:val="24"/>
          <w:szCs w:val="24"/>
        </w:rPr>
        <w:t xml:space="preserve">inserito sul sistema contabile SCORE e </w:t>
      </w:r>
      <w:r w:rsidRPr="00285CE5">
        <w:rPr>
          <w:rFonts w:ascii="Times New Roman" w:hAnsi="Times New Roman" w:cs="Times New Roman"/>
          <w:sz w:val="24"/>
          <w:szCs w:val="24"/>
        </w:rPr>
        <w:t xml:space="preserve">trasmesso alla Ragioneria Centrale </w:t>
      </w:r>
      <w:r w:rsidRPr="00285CE5">
        <w:rPr>
          <w:rFonts w:ascii="Times New Roman" w:hAnsi="Times New Roman" w:cs="Times New Roman"/>
          <w:color w:val="000009"/>
          <w:spacing w:val="-1"/>
          <w:sz w:val="24"/>
          <w:szCs w:val="24"/>
        </w:rPr>
        <w:t>[</w:t>
      </w:r>
      <w:r w:rsidRPr="00285CE5">
        <w:rPr>
          <w:rFonts w:ascii="Times New Roman" w:hAnsi="Times New Roman" w:cs="Times New Roman"/>
          <w:color w:val="000009"/>
          <w:spacing w:val="-1"/>
          <w:sz w:val="24"/>
          <w:szCs w:val="24"/>
          <w:highlight w:val="yellow"/>
        </w:rPr>
        <w:t>inserire il nome della Ragioneria Centrale competente</w:t>
      </w:r>
      <w:r w:rsidRPr="00285CE5">
        <w:rPr>
          <w:rFonts w:ascii="Times New Roman" w:hAnsi="Times New Roman" w:cs="Times New Roman"/>
          <w:color w:val="000009"/>
          <w:spacing w:val="-1"/>
          <w:sz w:val="24"/>
          <w:szCs w:val="24"/>
        </w:rPr>
        <w:t>]</w:t>
      </w:r>
      <w:r w:rsidRPr="00285CE5">
        <w:rPr>
          <w:rFonts w:ascii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285CE5">
        <w:rPr>
          <w:rFonts w:ascii="Times New Roman" w:hAnsi="Times New Roman" w:cs="Times New Roman"/>
          <w:sz w:val="24"/>
          <w:szCs w:val="24"/>
        </w:rPr>
        <w:t xml:space="preserve">per la </w:t>
      </w:r>
      <w:r w:rsidR="00C3455D">
        <w:rPr>
          <w:rFonts w:ascii="Times New Roman" w:hAnsi="Times New Roman" w:cs="Times New Roman"/>
          <w:sz w:val="24"/>
          <w:szCs w:val="24"/>
        </w:rPr>
        <w:t>validazione</w:t>
      </w:r>
      <w:bookmarkStart w:id="3" w:name="_GoBack"/>
      <w:bookmarkEnd w:id="3"/>
      <w:r w:rsidRPr="00285CE5">
        <w:rPr>
          <w:rFonts w:ascii="Times New Roman" w:hAnsi="Times New Roman" w:cs="Times New Roman"/>
          <w:sz w:val="24"/>
          <w:szCs w:val="24"/>
        </w:rPr>
        <w:t>, e sarà altresì, pubblicato sul sito istituzionale della Regione Siciliana nella parte di competenza del Dipartimento [</w:t>
      </w:r>
      <w:r w:rsidRPr="00285CE5">
        <w:rPr>
          <w:rFonts w:ascii="Times New Roman" w:hAnsi="Times New Roman" w:cs="Times New Roman"/>
          <w:sz w:val="24"/>
          <w:szCs w:val="24"/>
          <w:highlight w:val="yellow"/>
        </w:rPr>
        <w:t>inserire il nome del Dipartimento accertante</w:t>
      </w:r>
      <w:r w:rsidRPr="00285CE5">
        <w:rPr>
          <w:rFonts w:ascii="Times New Roman" w:hAnsi="Times New Roman" w:cs="Times New Roman"/>
          <w:sz w:val="24"/>
          <w:szCs w:val="24"/>
        </w:rPr>
        <w:t xml:space="preserve">] esclusivamente in assolvimento degli obblighi di cui all’articolo 68 della L.R. 12 agosto 2014, n. 21 </w:t>
      </w:r>
      <w:r w:rsidRPr="00285CE5">
        <w:rPr>
          <w:rFonts w:ascii="Times New Roman" w:hAnsi="Times New Roman" w:cs="Times New Roman"/>
          <w:bCs/>
          <w:color w:val="000009"/>
          <w:spacing w:val="-1"/>
          <w:sz w:val="24"/>
          <w:szCs w:val="24"/>
        </w:rPr>
        <w:t>così come modificato dall’articolo 98 della legge regionale 7 maggio 2015, n. 9.</w:t>
      </w:r>
    </w:p>
    <w:bookmarkEnd w:id="2"/>
    <w:p w14:paraId="16D01777" w14:textId="77777777" w:rsidR="001677D4" w:rsidRDefault="001677D4" w:rsidP="001677D4">
      <w:pPr>
        <w:ind w:left="851" w:right="-2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7695B709" w14:textId="77777777" w:rsidR="00B57CEF" w:rsidRPr="00285CE5" w:rsidRDefault="00B57CEF" w:rsidP="001677D4">
      <w:pPr>
        <w:ind w:left="851" w:right="-2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4820E8E0" w14:textId="77777777" w:rsidR="001677D4" w:rsidRPr="00285CE5" w:rsidRDefault="001677D4" w:rsidP="001677D4">
      <w:pPr>
        <w:ind w:left="3686" w:right="1361" w:hanging="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Il Dirigente Generale/Il Dirigente dell’Area/Servizio</w:t>
      </w:r>
    </w:p>
    <w:p w14:paraId="3192BF81" w14:textId="77777777" w:rsidR="001677D4" w:rsidRPr="00285CE5" w:rsidRDefault="001677D4" w:rsidP="001677D4">
      <w:pPr>
        <w:ind w:left="3686" w:right="1361" w:hanging="11"/>
        <w:jc w:val="center"/>
        <w:rPr>
          <w:rFonts w:ascii="Times New Roman" w:hAnsi="Times New Roman" w:cs="Times New Roman"/>
          <w:color w:val="000009"/>
          <w:sz w:val="24"/>
          <w:szCs w:val="24"/>
        </w:rPr>
      </w:pPr>
      <w:r w:rsidRPr="00285CE5">
        <w:rPr>
          <w:rFonts w:ascii="Times New Roman" w:hAnsi="Times New Roman" w:cs="Times New Roman"/>
          <w:b/>
          <w:bCs/>
          <w:color w:val="000009"/>
          <w:sz w:val="24"/>
          <w:szCs w:val="24"/>
          <w:highlight w:val="yellow"/>
        </w:rPr>
        <w:t>[inserire il nome del Dirigente]</w:t>
      </w:r>
    </w:p>
    <w:p w14:paraId="65C98171" w14:textId="77777777" w:rsidR="001677D4" w:rsidRPr="00285CE5" w:rsidRDefault="001677D4" w:rsidP="001677D4">
      <w:pPr>
        <w:ind w:left="3686" w:right="1361" w:hanging="11"/>
        <w:jc w:val="center"/>
        <w:rPr>
          <w:rFonts w:ascii="Times New Roman" w:hAnsi="Times New Roman" w:cs="Times New Roman"/>
          <w:b/>
          <w:bCs/>
          <w:color w:val="000009"/>
          <w:sz w:val="24"/>
          <w:szCs w:val="24"/>
          <w:highlight w:val="yellow"/>
        </w:rPr>
      </w:pPr>
    </w:p>
    <w:p w14:paraId="3402D3DE" w14:textId="77777777" w:rsidR="00617C7B" w:rsidRPr="00285CE5" w:rsidRDefault="00617C7B">
      <w:pPr>
        <w:rPr>
          <w:rFonts w:ascii="Times New Roman" w:hAnsi="Times New Roman" w:cs="Times New Roman"/>
          <w:sz w:val="24"/>
          <w:szCs w:val="24"/>
          <w:highlight w:val="yellow"/>
        </w:rPr>
        <w:sectPr w:rsidR="00617C7B" w:rsidRPr="00285CE5" w:rsidSect="002A51A6">
          <w:headerReference w:type="default" r:id="rId12"/>
          <w:footerReference w:type="default" r:id="rId13"/>
          <w:type w:val="continuous"/>
          <w:pgSz w:w="11910" w:h="16840"/>
          <w:pgMar w:top="851" w:right="1278" w:bottom="740" w:left="1134" w:header="284" w:footer="557" w:gutter="0"/>
          <w:cols w:space="720"/>
        </w:sectPr>
      </w:pPr>
    </w:p>
    <w:p w14:paraId="32A42279" w14:textId="77777777" w:rsidR="00753900" w:rsidRPr="00285CE5" w:rsidRDefault="00B3624A" w:rsidP="00B3624A">
      <w:pPr>
        <w:pStyle w:val="Corpotesto"/>
        <w:spacing w:before="56"/>
        <w:ind w:left="5" w:right="29"/>
        <w:rPr>
          <w:rFonts w:ascii="Times New Roman" w:hAnsi="Times New Roman" w:cs="Times New Roman"/>
          <w:sz w:val="24"/>
          <w:szCs w:val="24"/>
        </w:rPr>
      </w:pPr>
      <w:r w:rsidRPr="00285CE5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DCC7797" w14:textId="77777777" w:rsidR="00753900" w:rsidRPr="00285CE5" w:rsidRDefault="00753900" w:rsidP="00B3624A">
      <w:pPr>
        <w:pStyle w:val="Corpotesto"/>
        <w:spacing w:before="56"/>
        <w:ind w:left="5" w:right="29"/>
        <w:rPr>
          <w:rFonts w:ascii="Times New Roman" w:hAnsi="Times New Roman" w:cs="Times New Roman"/>
          <w:sz w:val="24"/>
          <w:szCs w:val="24"/>
        </w:rPr>
      </w:pPr>
    </w:p>
    <w:p w14:paraId="1DB93D45" w14:textId="77777777" w:rsidR="00753900" w:rsidRPr="00285CE5" w:rsidRDefault="00753900" w:rsidP="00B3624A">
      <w:pPr>
        <w:pStyle w:val="Corpotesto"/>
        <w:spacing w:before="56"/>
        <w:ind w:left="5" w:right="29"/>
        <w:rPr>
          <w:rFonts w:ascii="Times New Roman" w:hAnsi="Times New Roman" w:cs="Times New Roman"/>
          <w:sz w:val="24"/>
          <w:szCs w:val="24"/>
        </w:rPr>
      </w:pPr>
    </w:p>
    <w:sectPr w:rsidR="00753900" w:rsidRPr="00285CE5" w:rsidSect="002A51A6">
      <w:headerReference w:type="default" r:id="rId14"/>
      <w:footerReference w:type="default" r:id="rId15"/>
      <w:type w:val="continuous"/>
      <w:pgSz w:w="11910" w:h="16840"/>
      <w:pgMar w:top="900" w:right="1278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65D70" w14:textId="77777777" w:rsidR="002A51A6" w:rsidRDefault="002A51A6">
      <w:r>
        <w:separator/>
      </w:r>
    </w:p>
  </w:endnote>
  <w:endnote w:type="continuationSeparator" w:id="0">
    <w:p w14:paraId="7CB2018D" w14:textId="77777777" w:rsidR="002A51A6" w:rsidRDefault="002A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15227"/>
      <w:docPartObj>
        <w:docPartGallery w:val="Page Numbers (Bottom of Page)"/>
        <w:docPartUnique/>
      </w:docPartObj>
    </w:sdtPr>
    <w:sdtEndPr/>
    <w:sdtContent>
      <w:p w14:paraId="41FBF223" w14:textId="4E9337DC" w:rsidR="00B82119" w:rsidRDefault="00B8211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55D">
          <w:rPr>
            <w:noProof/>
          </w:rPr>
          <w:t>4</w:t>
        </w:r>
        <w:r>
          <w:fldChar w:fldCharType="end"/>
        </w:r>
      </w:p>
    </w:sdtContent>
  </w:sdt>
  <w:p w14:paraId="18F9C6B0" w14:textId="4AD2E868" w:rsidR="00617C7B" w:rsidRDefault="00617C7B">
    <w:pPr>
      <w:pStyle w:val="Corpotesto"/>
      <w:spacing w:line="14" w:lineRule="auto"/>
      <w:ind w:left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0CC35" w14:textId="77777777" w:rsidR="00617C7B" w:rsidRDefault="00617C7B">
    <w:pPr>
      <w:pStyle w:val="Corpotesto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7ED0E" w14:textId="77777777" w:rsidR="002A51A6" w:rsidRDefault="002A51A6">
      <w:r>
        <w:separator/>
      </w:r>
    </w:p>
  </w:footnote>
  <w:footnote w:type="continuationSeparator" w:id="0">
    <w:p w14:paraId="4F8991C1" w14:textId="77777777" w:rsidR="002A51A6" w:rsidRDefault="002A5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9A0A8" w14:textId="77777777" w:rsidR="00561B6F" w:rsidRDefault="00561B6F">
    <w:pPr>
      <w:pStyle w:val="Corpotesto"/>
      <w:spacing w:line="14" w:lineRule="auto"/>
      <w:ind w:left="0"/>
      <w:jc w:val="left"/>
      <w:rPr>
        <w:sz w:val="20"/>
      </w:rPr>
    </w:pPr>
  </w:p>
  <w:p w14:paraId="36180566" w14:textId="77777777" w:rsidR="00561B6F" w:rsidRDefault="00561B6F">
    <w:pPr>
      <w:pStyle w:val="Corpotesto"/>
      <w:spacing w:line="14" w:lineRule="auto"/>
      <w:ind w:left="0"/>
      <w:jc w:val="left"/>
      <w:rPr>
        <w:sz w:val="20"/>
      </w:rPr>
    </w:pPr>
  </w:p>
  <w:p w14:paraId="5E25511E" w14:textId="77777777" w:rsidR="003E4493" w:rsidRDefault="003E4493" w:rsidP="003E4493">
    <w:pPr>
      <w:pStyle w:val="Corpotesto"/>
      <w:kinsoku w:val="0"/>
      <w:overflowPunct w:val="0"/>
      <w:spacing w:line="326" w:lineRule="exact"/>
      <w:ind w:left="20"/>
    </w:pPr>
    <w:r>
      <w:rPr>
        <w:spacing w:val="-1"/>
        <w:lang w:val="nb-NO"/>
      </w:rPr>
      <w:t xml:space="preserve">D.D.G/D.R.A./D.D.S. </w:t>
    </w:r>
    <w:r>
      <w:rPr>
        <w:lang w:val="nb-NO"/>
      </w:rPr>
      <w:t xml:space="preserve">n. </w:t>
    </w:r>
    <w:r>
      <w:rPr>
        <w:spacing w:val="37"/>
        <w:lang w:val="nb-NO"/>
      </w:rPr>
      <w:t xml:space="preserve">         </w:t>
    </w:r>
    <w:r>
      <w:rPr>
        <w:lang w:val="nb-NO"/>
      </w:rPr>
      <w:t xml:space="preserve"> </w:t>
    </w:r>
    <w:r>
      <w:rPr>
        <w:spacing w:val="-1"/>
        <w:lang w:val="nb-NO"/>
      </w:rPr>
      <w:t>del</w:t>
    </w:r>
  </w:p>
  <w:p w14:paraId="1476C623" w14:textId="721FDE55" w:rsidR="00617C7B" w:rsidRDefault="00617C7B">
    <w:pPr>
      <w:pStyle w:val="Corpotesto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2B1B" w14:textId="77777777" w:rsidR="00617C7B" w:rsidRDefault="00617C7B">
    <w:pPr>
      <w:pStyle w:val="Corpotesto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C7B8F"/>
    <w:multiLevelType w:val="hybridMultilevel"/>
    <w:tmpl w:val="C2D05D80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C7B"/>
    <w:rsid w:val="00003780"/>
    <w:rsid w:val="00005B35"/>
    <w:rsid w:val="000114D4"/>
    <w:rsid w:val="00011A3F"/>
    <w:rsid w:val="00022734"/>
    <w:rsid w:val="000233AF"/>
    <w:rsid w:val="00031B82"/>
    <w:rsid w:val="0003222A"/>
    <w:rsid w:val="0003312C"/>
    <w:rsid w:val="0005384E"/>
    <w:rsid w:val="00054DC7"/>
    <w:rsid w:val="000701C2"/>
    <w:rsid w:val="00071971"/>
    <w:rsid w:val="00077A16"/>
    <w:rsid w:val="00096E77"/>
    <w:rsid w:val="000A244D"/>
    <w:rsid w:val="000A738E"/>
    <w:rsid w:val="000B0FE9"/>
    <w:rsid w:val="000D0165"/>
    <w:rsid w:val="000E13BB"/>
    <w:rsid w:val="000F7126"/>
    <w:rsid w:val="00100E82"/>
    <w:rsid w:val="00103797"/>
    <w:rsid w:val="00107BC6"/>
    <w:rsid w:val="001227C4"/>
    <w:rsid w:val="00132A21"/>
    <w:rsid w:val="00137ECE"/>
    <w:rsid w:val="001530B3"/>
    <w:rsid w:val="00164701"/>
    <w:rsid w:val="001677D4"/>
    <w:rsid w:val="0018598B"/>
    <w:rsid w:val="0019331F"/>
    <w:rsid w:val="001A0B4A"/>
    <w:rsid w:val="001C4866"/>
    <w:rsid w:val="001E27AB"/>
    <w:rsid w:val="001F533A"/>
    <w:rsid w:val="0020445C"/>
    <w:rsid w:val="00212CF5"/>
    <w:rsid w:val="00225505"/>
    <w:rsid w:val="00251808"/>
    <w:rsid w:val="002641F6"/>
    <w:rsid w:val="00271805"/>
    <w:rsid w:val="00285CE5"/>
    <w:rsid w:val="00285D04"/>
    <w:rsid w:val="002A51A6"/>
    <w:rsid w:val="002B111F"/>
    <w:rsid w:val="002C17B9"/>
    <w:rsid w:val="002C198C"/>
    <w:rsid w:val="002C6C48"/>
    <w:rsid w:val="002F0CED"/>
    <w:rsid w:val="002F4A97"/>
    <w:rsid w:val="00303417"/>
    <w:rsid w:val="00330E59"/>
    <w:rsid w:val="00371292"/>
    <w:rsid w:val="003A37D5"/>
    <w:rsid w:val="003A41E5"/>
    <w:rsid w:val="003C5D63"/>
    <w:rsid w:val="003D7774"/>
    <w:rsid w:val="003E4493"/>
    <w:rsid w:val="003E6C10"/>
    <w:rsid w:val="003E6C78"/>
    <w:rsid w:val="004163E5"/>
    <w:rsid w:val="0042702F"/>
    <w:rsid w:val="0045032B"/>
    <w:rsid w:val="00475FD4"/>
    <w:rsid w:val="00477211"/>
    <w:rsid w:val="004A57D7"/>
    <w:rsid w:val="004C30AE"/>
    <w:rsid w:val="004E7693"/>
    <w:rsid w:val="004F1AFE"/>
    <w:rsid w:val="0050172E"/>
    <w:rsid w:val="005017C2"/>
    <w:rsid w:val="005073C6"/>
    <w:rsid w:val="00515DCC"/>
    <w:rsid w:val="00524EAE"/>
    <w:rsid w:val="00530334"/>
    <w:rsid w:val="00545478"/>
    <w:rsid w:val="00546B81"/>
    <w:rsid w:val="00554129"/>
    <w:rsid w:val="00554DA1"/>
    <w:rsid w:val="00561B6F"/>
    <w:rsid w:val="00570455"/>
    <w:rsid w:val="00582D4C"/>
    <w:rsid w:val="005858AE"/>
    <w:rsid w:val="0058779E"/>
    <w:rsid w:val="005A2464"/>
    <w:rsid w:val="005B0D4E"/>
    <w:rsid w:val="005C0FD1"/>
    <w:rsid w:val="005F7036"/>
    <w:rsid w:val="005F7280"/>
    <w:rsid w:val="00617C7B"/>
    <w:rsid w:val="00647C3B"/>
    <w:rsid w:val="006814E9"/>
    <w:rsid w:val="00682536"/>
    <w:rsid w:val="006848D0"/>
    <w:rsid w:val="00697FA0"/>
    <w:rsid w:val="006A01C2"/>
    <w:rsid w:val="006A07C8"/>
    <w:rsid w:val="006A435A"/>
    <w:rsid w:val="006A476B"/>
    <w:rsid w:val="006B3508"/>
    <w:rsid w:val="006C5E3D"/>
    <w:rsid w:val="006C7CDA"/>
    <w:rsid w:val="006E3D98"/>
    <w:rsid w:val="006F5EC5"/>
    <w:rsid w:val="00705827"/>
    <w:rsid w:val="00753900"/>
    <w:rsid w:val="00781B68"/>
    <w:rsid w:val="00786D4D"/>
    <w:rsid w:val="007A0949"/>
    <w:rsid w:val="007A564D"/>
    <w:rsid w:val="007C3348"/>
    <w:rsid w:val="007E68DB"/>
    <w:rsid w:val="007F56A2"/>
    <w:rsid w:val="00800CC0"/>
    <w:rsid w:val="0083406A"/>
    <w:rsid w:val="00836367"/>
    <w:rsid w:val="008859EF"/>
    <w:rsid w:val="008918D1"/>
    <w:rsid w:val="008A09A6"/>
    <w:rsid w:val="008A74CC"/>
    <w:rsid w:val="008B3C04"/>
    <w:rsid w:val="008C1183"/>
    <w:rsid w:val="008C6428"/>
    <w:rsid w:val="008D10C1"/>
    <w:rsid w:val="008D1958"/>
    <w:rsid w:val="008E7556"/>
    <w:rsid w:val="008F1A57"/>
    <w:rsid w:val="008F44B7"/>
    <w:rsid w:val="00901B25"/>
    <w:rsid w:val="00917EEC"/>
    <w:rsid w:val="00983E50"/>
    <w:rsid w:val="009A7D1F"/>
    <w:rsid w:val="009B0235"/>
    <w:rsid w:val="009C20BB"/>
    <w:rsid w:val="009C64BC"/>
    <w:rsid w:val="009C71C5"/>
    <w:rsid w:val="009D080E"/>
    <w:rsid w:val="009D6E5F"/>
    <w:rsid w:val="009E769C"/>
    <w:rsid w:val="00A04159"/>
    <w:rsid w:val="00A05597"/>
    <w:rsid w:val="00A12693"/>
    <w:rsid w:val="00A128B8"/>
    <w:rsid w:val="00A17CD8"/>
    <w:rsid w:val="00A4351E"/>
    <w:rsid w:val="00A43FC0"/>
    <w:rsid w:val="00A56234"/>
    <w:rsid w:val="00A574D6"/>
    <w:rsid w:val="00A62FE6"/>
    <w:rsid w:val="00A66BF1"/>
    <w:rsid w:val="00A670F5"/>
    <w:rsid w:val="00A729FD"/>
    <w:rsid w:val="00A812D7"/>
    <w:rsid w:val="00A86B75"/>
    <w:rsid w:val="00A87008"/>
    <w:rsid w:val="00A871AB"/>
    <w:rsid w:val="00A9516A"/>
    <w:rsid w:val="00AA7DBB"/>
    <w:rsid w:val="00AE6EC7"/>
    <w:rsid w:val="00B04D69"/>
    <w:rsid w:val="00B10DAE"/>
    <w:rsid w:val="00B167C8"/>
    <w:rsid w:val="00B17A69"/>
    <w:rsid w:val="00B3624A"/>
    <w:rsid w:val="00B44593"/>
    <w:rsid w:val="00B52B81"/>
    <w:rsid w:val="00B54413"/>
    <w:rsid w:val="00B563D0"/>
    <w:rsid w:val="00B57CEF"/>
    <w:rsid w:val="00B722F5"/>
    <w:rsid w:val="00B8015B"/>
    <w:rsid w:val="00B82119"/>
    <w:rsid w:val="00BA0089"/>
    <w:rsid w:val="00BA0EB3"/>
    <w:rsid w:val="00BA14EC"/>
    <w:rsid w:val="00BA4E2F"/>
    <w:rsid w:val="00BA646E"/>
    <w:rsid w:val="00BB3AAF"/>
    <w:rsid w:val="00BC7BD7"/>
    <w:rsid w:val="00BD220E"/>
    <w:rsid w:val="00BF4883"/>
    <w:rsid w:val="00C00DE8"/>
    <w:rsid w:val="00C0547B"/>
    <w:rsid w:val="00C15DFC"/>
    <w:rsid w:val="00C16D32"/>
    <w:rsid w:val="00C228C0"/>
    <w:rsid w:val="00C3455D"/>
    <w:rsid w:val="00C37224"/>
    <w:rsid w:val="00C47F0C"/>
    <w:rsid w:val="00C64131"/>
    <w:rsid w:val="00C723F7"/>
    <w:rsid w:val="00C83169"/>
    <w:rsid w:val="00C83E95"/>
    <w:rsid w:val="00C9432B"/>
    <w:rsid w:val="00C949C5"/>
    <w:rsid w:val="00CD1B27"/>
    <w:rsid w:val="00CE11AB"/>
    <w:rsid w:val="00CE1AF4"/>
    <w:rsid w:val="00CF6DDD"/>
    <w:rsid w:val="00D0740D"/>
    <w:rsid w:val="00D17957"/>
    <w:rsid w:val="00D306B6"/>
    <w:rsid w:val="00D31BA3"/>
    <w:rsid w:val="00D32817"/>
    <w:rsid w:val="00D35341"/>
    <w:rsid w:val="00D4009C"/>
    <w:rsid w:val="00D41313"/>
    <w:rsid w:val="00D55F3F"/>
    <w:rsid w:val="00D76B4B"/>
    <w:rsid w:val="00D7754C"/>
    <w:rsid w:val="00D81942"/>
    <w:rsid w:val="00D861F1"/>
    <w:rsid w:val="00D94C1E"/>
    <w:rsid w:val="00DA49BB"/>
    <w:rsid w:val="00DB31B3"/>
    <w:rsid w:val="00DC5E62"/>
    <w:rsid w:val="00DD311F"/>
    <w:rsid w:val="00DE5431"/>
    <w:rsid w:val="00DF2033"/>
    <w:rsid w:val="00E13C39"/>
    <w:rsid w:val="00E14C4A"/>
    <w:rsid w:val="00E14D18"/>
    <w:rsid w:val="00E15B11"/>
    <w:rsid w:val="00E17585"/>
    <w:rsid w:val="00E30622"/>
    <w:rsid w:val="00E33A2A"/>
    <w:rsid w:val="00E64753"/>
    <w:rsid w:val="00E6516B"/>
    <w:rsid w:val="00EC2FEF"/>
    <w:rsid w:val="00EC4671"/>
    <w:rsid w:val="00ED6E96"/>
    <w:rsid w:val="00EE532A"/>
    <w:rsid w:val="00EF206C"/>
    <w:rsid w:val="00EF7F61"/>
    <w:rsid w:val="00F00AF8"/>
    <w:rsid w:val="00F01FAF"/>
    <w:rsid w:val="00F107FF"/>
    <w:rsid w:val="00F227DA"/>
    <w:rsid w:val="00F312E6"/>
    <w:rsid w:val="00F32CA2"/>
    <w:rsid w:val="00F36278"/>
    <w:rsid w:val="00F36DD1"/>
    <w:rsid w:val="00F47E80"/>
    <w:rsid w:val="00F61E2B"/>
    <w:rsid w:val="00F708B7"/>
    <w:rsid w:val="00F73070"/>
    <w:rsid w:val="00FC1335"/>
    <w:rsid w:val="00FC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3C91F"/>
  <w15:docId w15:val="{F8FF0C77-02A1-4384-9020-A72C3774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9"/>
      <w:outlineLvl w:val="0"/>
    </w:pPr>
    <w:rPr>
      <w:rFonts w:ascii="Trebuchet MS" w:eastAsia="Trebuchet MS" w:hAnsi="Trebuchet MS" w:cs="Trebuchet MS"/>
      <w:sz w:val="56"/>
      <w:szCs w:val="56"/>
    </w:rPr>
  </w:style>
  <w:style w:type="paragraph" w:styleId="Titolo2">
    <w:name w:val="heading 2"/>
    <w:basedOn w:val="Normale"/>
    <w:uiPriority w:val="9"/>
    <w:unhideWhenUsed/>
    <w:qFormat/>
    <w:pPr>
      <w:spacing w:before="4"/>
      <w:ind w:left="111"/>
      <w:outlineLvl w:val="1"/>
    </w:pPr>
    <w:rPr>
      <w:rFonts w:ascii="Trebuchet MS" w:eastAsia="Trebuchet MS" w:hAnsi="Trebuchet MS" w:cs="Trebuchet MS"/>
      <w:sz w:val="35"/>
      <w:szCs w:val="35"/>
    </w:rPr>
  </w:style>
  <w:style w:type="paragraph" w:styleId="Titolo3">
    <w:name w:val="heading 3"/>
    <w:basedOn w:val="Normale"/>
    <w:uiPriority w:val="9"/>
    <w:unhideWhenUsed/>
    <w:qFormat/>
    <w:pPr>
      <w:spacing w:before="3"/>
      <w:ind w:right="114"/>
      <w:jc w:val="right"/>
      <w:outlineLvl w:val="2"/>
    </w:pPr>
    <w:rPr>
      <w:rFonts w:ascii="Trebuchet MS" w:eastAsia="Trebuchet MS" w:hAnsi="Trebuchet MS" w:cs="Trebuchet MS"/>
      <w:sz w:val="29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563"/>
      <w:jc w:val="both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2"/>
      <w:jc w:val="right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8859EF"/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363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363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36367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63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6367"/>
    <w:rPr>
      <w:rFonts w:ascii="Calibri" w:eastAsia="Calibri" w:hAnsi="Calibri" w:cs="Calibri"/>
      <w:b/>
      <w:bCs/>
      <w:sz w:val="20"/>
      <w:szCs w:val="20"/>
      <w:lang w:val="it-IT"/>
    </w:rPr>
  </w:style>
  <w:style w:type="character" w:customStyle="1" w:styleId="Carpredefinitoparagrafo1">
    <w:name w:val="Car. predefinito paragrafo1"/>
    <w:rsid w:val="00561B6F"/>
  </w:style>
  <w:style w:type="paragraph" w:customStyle="1" w:styleId="Titolo11">
    <w:name w:val="Titolo 11"/>
    <w:basedOn w:val="Normale"/>
    <w:rsid w:val="00561B6F"/>
    <w:pPr>
      <w:suppressAutoHyphens/>
      <w:autoSpaceDN/>
      <w:ind w:left="1"/>
      <w:outlineLvl w:val="0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Corpodeltesto21">
    <w:name w:val="Corpo del testo 21"/>
    <w:basedOn w:val="Normale"/>
    <w:rsid w:val="00561B6F"/>
    <w:pPr>
      <w:widowControl/>
      <w:suppressAutoHyphens/>
      <w:autoSpaceDE/>
      <w:autoSpaceDN/>
      <w:jc w:val="both"/>
    </w:pPr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Standard">
    <w:name w:val="Standard"/>
    <w:rsid w:val="00561B6F"/>
    <w:pPr>
      <w:widowControl/>
      <w:suppressAutoHyphens/>
      <w:autoSpaceDE/>
      <w:spacing w:after="200" w:line="276" w:lineRule="auto"/>
    </w:pPr>
    <w:rPr>
      <w:rFonts w:ascii="Calibri" w:eastAsia="SimSun" w:hAnsi="Calibri" w:cs="Tahoma"/>
      <w:kern w:val="3"/>
      <w:lang w:val="it-IT" w:eastAsia="it-IT"/>
    </w:rPr>
  </w:style>
  <w:style w:type="paragraph" w:customStyle="1" w:styleId="Rientrocorpodeltesto21">
    <w:name w:val="Rientro corpo del testo 21"/>
    <w:basedOn w:val="Normale"/>
    <w:rsid w:val="00561B6F"/>
    <w:pPr>
      <w:widowControl/>
      <w:suppressAutoHyphens/>
      <w:autoSpaceDE/>
      <w:autoSpaceDN/>
      <w:spacing w:after="120" w:line="320" w:lineRule="exact"/>
      <w:ind w:right="120" w:firstLine="46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561B6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1B6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1B6F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1B6F"/>
    <w:rPr>
      <w:rFonts w:ascii="Calibri" w:eastAsia="Calibri" w:hAnsi="Calibri" w:cs="Calibri"/>
      <w:lang w:val="it-IT"/>
    </w:rPr>
  </w:style>
  <w:style w:type="paragraph" w:customStyle="1" w:styleId="Titolo12">
    <w:name w:val="Titolo 12"/>
    <w:basedOn w:val="Normale"/>
    <w:rsid w:val="007F56A2"/>
    <w:pPr>
      <w:suppressAutoHyphens/>
      <w:autoSpaceDN/>
      <w:ind w:left="1"/>
      <w:outlineLvl w:val="0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753900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53900"/>
    <w:rPr>
      <w:color w:val="605E5C"/>
      <w:shd w:val="clear" w:color="auto" w:fill="E1DFDD"/>
    </w:rPr>
  </w:style>
  <w:style w:type="paragraph" w:customStyle="1" w:styleId="Heading11">
    <w:name w:val="Heading 11"/>
    <w:basedOn w:val="Normale"/>
    <w:qFormat/>
    <w:rsid w:val="00FC6C89"/>
    <w:pPr>
      <w:adjustRightInd w:val="0"/>
      <w:ind w:left="1"/>
      <w:outlineLvl w:val="0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Regione">
    <w:name w:val="Regione"/>
    <w:basedOn w:val="Normale"/>
    <w:rsid w:val="00FC6C89"/>
    <w:pPr>
      <w:widowControl/>
      <w:suppressAutoHyphens/>
      <w:autoSpaceDE/>
      <w:ind w:right="4202" w:firstLine="708"/>
      <w:jc w:val="center"/>
      <w:textAlignment w:val="baseline"/>
    </w:pPr>
    <w:rPr>
      <w:rFonts w:ascii="Arial" w:eastAsia="Times New Roman" w:hAnsi="Arial" w:cs="Arial"/>
      <w:i/>
      <w:sz w:val="48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rsid w:val="00FC6C89"/>
    <w:pPr>
      <w:keepNext/>
      <w:widowControl/>
      <w:suppressAutoHyphens/>
      <w:autoSpaceDE/>
      <w:spacing w:before="240" w:after="120"/>
      <w:jc w:val="center"/>
      <w:textAlignment w:val="baseline"/>
    </w:pPr>
    <w:rPr>
      <w:rFonts w:ascii="Arial" w:eastAsia="Lucida Sans Unicode" w:hAnsi="Arial" w:cs="Tahoma"/>
      <w:i/>
      <w:iCs/>
      <w:sz w:val="28"/>
      <w:szCs w:val="28"/>
      <w:lang w:val="en-GB" w:eastAsia="ar-SA"/>
    </w:rPr>
  </w:style>
  <w:style w:type="character" w:customStyle="1" w:styleId="SottotitoloCarattere">
    <w:name w:val="Sottotitolo Carattere"/>
    <w:basedOn w:val="Carpredefinitoparagrafo"/>
    <w:link w:val="Sottotitolo"/>
    <w:rsid w:val="00FC6C89"/>
    <w:rPr>
      <w:rFonts w:ascii="Arial" w:eastAsia="Lucida Sans Unicode" w:hAnsi="Arial" w:cs="Tahoma"/>
      <w:i/>
      <w:iCs/>
      <w:sz w:val="28"/>
      <w:szCs w:val="2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0BE0F-81B2-407F-982B-17E45B51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Nobile</dc:creator>
  <cp:lastModifiedBy>Gianfranco Di Liberto</cp:lastModifiedBy>
  <cp:revision>2</cp:revision>
  <cp:lastPrinted>2023-12-05T14:52:00Z</cp:lastPrinted>
  <dcterms:created xsi:type="dcterms:W3CDTF">2025-02-07T11:11:00Z</dcterms:created>
  <dcterms:modified xsi:type="dcterms:W3CDTF">2025-02-07T11:11:00Z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2019-08-08T00:00:00Z</vt:filetime>
  </property>
  <property fmtid="{D5CDD505-2E9C-101B-9397-08002B2CF9AE}" pid="3" name="LastSaved">
    <vt:filetime>2023-07-11T00:00:00Z</vt:filetime>
  </property>
</Properties>
</file>